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bookmarkStart w:id="0" w:name="_Hlt450066085"/>
      <w:bookmarkEnd w:id="0"/>
      <w:bookmarkStart w:id="1" w:name="_Hlt449016246"/>
      <w:bookmarkEnd w:id="1"/>
      <w:bookmarkStart w:id="2" w:name="_Hlt450051172"/>
      <w:bookmarkEnd w:id="2"/>
      <w:bookmarkStart w:id="3" w:name="_Hlt450039480"/>
      <w:bookmarkEnd w:id="3"/>
      <w:bookmarkStart w:id="4" w:name="_Hlt448930105"/>
      <w:bookmarkEnd w:id="4"/>
      <w:bookmarkStart w:id="5" w:name="_Hlt450066087"/>
      <w:bookmarkEnd w:id="5"/>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1</w:t>
      </w:r>
      <w:r>
        <w:rPr>
          <w:b/>
          <w:i/>
          <w:sz w:val="28"/>
        </w:rPr>
        <w:tab/>
      </w:r>
      <w:r>
        <w:rPr>
          <w:rFonts w:hint="eastAsia"/>
          <w:b/>
          <w:sz w:val="24"/>
        </w:rPr>
        <w:t>R4-2</w:t>
      </w:r>
      <w:r>
        <w:rPr>
          <w:rFonts w:hint="eastAsia" w:eastAsia="宋体"/>
          <w:b/>
          <w:sz w:val="24"/>
          <w:lang w:val="en-US" w:eastAsia="zh-CN"/>
        </w:rPr>
        <w:t>408795</w:t>
      </w:r>
    </w:p>
    <w:p>
      <w:pPr>
        <w:pStyle w:val="73"/>
        <w:outlineLvl w:val="0"/>
        <w:rPr>
          <w:b/>
          <w:sz w:val="24"/>
        </w:rPr>
      </w:pPr>
      <w:r>
        <w:rPr>
          <w:rFonts w:hint="eastAsia" w:eastAsia="宋体" w:cs="Arial"/>
          <w:b/>
          <w:sz w:val="24"/>
          <w:szCs w:val="24"/>
          <w:lang w:val="en-US" w:eastAsia="zh-CN"/>
        </w:rPr>
        <w:t>Fukuoka,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Japan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20</w:t>
      </w:r>
      <w:r>
        <w:rPr>
          <w:rFonts w:hint="eastAsia" w:ascii="Arial" w:hAnsi="Arial" w:eastAsia="宋体" w:cs="Arial"/>
          <w:b/>
          <w:sz w:val="24"/>
          <w:szCs w:val="24"/>
          <w:lang w:eastAsia="zh-CN"/>
        </w:rPr>
        <w:t>th–</w:t>
      </w:r>
      <w:r>
        <w:rPr>
          <w:rFonts w:hint="eastAsia" w:eastAsia="宋体" w:cs="Arial"/>
          <w:b/>
          <w:sz w:val="24"/>
          <w:szCs w:val="24"/>
          <w:lang w:val="en-US" w:eastAsia="zh-CN"/>
        </w:rPr>
        <w:t>24</w:t>
      </w:r>
      <w:r>
        <w:rPr>
          <w:rFonts w:hint="eastAsia" w:cs="Arial"/>
          <w:b/>
          <w:sz w:val="24"/>
          <w:szCs w:val="24"/>
          <w:lang w:val="en-US" w:eastAsia="zh-CN"/>
        </w:rPr>
        <w:t>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May</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bookmarkStart w:id="15" w:name="_GoBack"/>
      <w:r>
        <w:rPr>
          <w:rStyle w:val="60"/>
          <w:rFonts w:hint="eastAsia"/>
          <w:b/>
          <w:highlight w:val="none"/>
          <w:lang w:val="en-US" w:eastAsia="zh-CN"/>
        </w:rPr>
        <w:t>, Sanechips</w:t>
      </w:r>
      <w:bookmarkEnd w:id="15"/>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6" w:name="OLE_LINK8"/>
      <w:bookmarkStart w:id="7" w:name="OLE_LINK14"/>
      <w:r>
        <w:rPr>
          <w:rFonts w:hint="eastAsia" w:ascii="Arial" w:hAnsi="Arial"/>
          <w:b/>
          <w:sz w:val="24"/>
          <w:highlight w:val="none"/>
          <w:lang w:val="en-US" w:eastAsia="zh-CN"/>
        </w:rPr>
        <w:t>D</w:t>
      </w:r>
      <w:r>
        <w:rPr>
          <w:rStyle w:val="60"/>
          <w:rFonts w:hint="eastAsia"/>
          <w:b/>
          <w:highlight w:val="none"/>
          <w:lang w:val="pt-BR" w:eastAsia="zh-CN"/>
        </w:rPr>
        <w:t>iscussion on</w:t>
      </w:r>
      <w:bookmarkEnd w:id="6"/>
      <w:bookmarkEnd w:id="7"/>
      <w:r>
        <w:rPr>
          <w:rStyle w:val="60"/>
          <w:rFonts w:hint="eastAsia"/>
          <w:b/>
          <w:highlight w:val="none"/>
          <w:lang w:val="en-US" w:eastAsia="zh-CN"/>
        </w:rPr>
        <w:t xml:space="preserve"> MPR applicability for FR1 intra-band UL CA</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10.1.1.3.2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102</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UE RF enhancements for NR FR1/FR2 and EN-DC, Phase 4, one of the objectives is about power boosting and/or MPR reduction as follows</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further</w:t>
      </w:r>
      <w:r>
        <w:rPr>
          <w:rFonts w:hint="default"/>
          <w:i w:val="0"/>
          <w:iCs w:val="0"/>
          <w:sz w:val="20"/>
          <w:szCs w:val="20"/>
          <w:lang w:val="en-US" w:eastAsia="zh-CN"/>
        </w:rPr>
        <w:t xml:space="preserve"> views</w:t>
      </w:r>
      <w:r>
        <w:rPr>
          <w:rFonts w:hint="eastAsia"/>
          <w:i w:val="0"/>
          <w:iCs w:val="0"/>
          <w:sz w:val="20"/>
          <w:szCs w:val="20"/>
          <w:lang w:val="en-US" w:eastAsia="zh-CN"/>
        </w:rPr>
        <w:t xml:space="preserve"> </w:t>
      </w:r>
      <w:r>
        <w:rPr>
          <w:rFonts w:hint="default"/>
          <w:i w:val="0"/>
          <w:iCs w:val="0"/>
          <w:sz w:val="20"/>
          <w:szCs w:val="20"/>
          <w:lang w:val="en-US" w:eastAsia="zh-CN"/>
        </w:rPr>
        <w:t>on MPR applicability for FR1 intra-band UL CA.</w:t>
      </w:r>
    </w:p>
    <w:tbl>
      <w:tblPr>
        <w:tblStyle w:val="24"/>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pStyle w:val="34"/>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Specify</w:t>
            </w:r>
            <w:r>
              <w:rPr>
                <w:rFonts w:ascii="Times New Roman" w:hAnsi="Times New Roman" w:cs="Times New Roman"/>
                <w:sz w:val="20"/>
                <w:szCs w:val="20"/>
              </w:rPr>
              <w:t xml:space="preserve"> power domain enhancement, e.g., MPR reduction for NR single carrier and NR intra-band UL CA</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Study </w:t>
            </w:r>
            <w:r>
              <w:rPr>
                <w:rFonts w:ascii="Times New Roman" w:hAnsi="Times New Roman" w:cs="Times New Roman"/>
                <w:sz w:val="20"/>
                <w:szCs w:val="20"/>
              </w:rPr>
              <w:t xml:space="preserve">the scenarios, </w:t>
            </w:r>
            <w:r>
              <w:rPr>
                <w:rFonts w:hint="eastAsia" w:ascii="Times New Roman" w:hAnsi="Times New Roman" w:cs="Times New Roman"/>
                <w:sz w:val="20"/>
                <w:szCs w:val="20"/>
              </w:rPr>
              <w:t>and</w:t>
            </w:r>
            <w:r>
              <w:rPr>
                <w:rFonts w:ascii="Times New Roman" w:hAnsi="Times New Roman" w:cs="Times New Roman"/>
                <w:sz w:val="20"/>
                <w:szCs w:val="20"/>
              </w:rPr>
              <w:t xml:space="preserve"> if feasible,</w:t>
            </w:r>
            <w:r>
              <w:rPr>
                <w:rFonts w:hint="eastAsia" w:ascii="Times New Roman" w:hAnsi="Times New Roman" w:cs="Times New Roman"/>
                <w:sz w:val="20"/>
                <w:szCs w:val="20"/>
              </w:rPr>
              <w:t xml:space="preserve"> sp</w:t>
            </w:r>
            <w:r>
              <w:rPr>
                <w:rFonts w:ascii="Times New Roman" w:hAnsi="Times New Roman" w:cs="Times New Roman"/>
                <w:sz w:val="20"/>
                <w:szCs w:val="20"/>
              </w:rPr>
              <w:t>ecify the power domain enhancement, e.g., MPR reduction, for PC2 and PC3 with applicable ACLR/SEM/spurious emission modification with BS indication for NR FR1 on a single UL carrier</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 t</w:t>
            </w:r>
            <w:r>
              <w:rPr>
                <w:rFonts w:hint="eastAsia" w:ascii="Times New Roman" w:hAnsi="Times New Roman" w:cs="Times New Roman"/>
                <w:sz w:val="20"/>
                <w:szCs w:val="20"/>
              </w:rPr>
              <w:t xml:space="preserve">he </w:t>
            </w:r>
            <w:bookmarkStart w:id="8" w:name="OLE_LINK6"/>
            <w:r>
              <w:rPr>
                <w:rFonts w:hint="eastAsia" w:ascii="Times New Roman" w:hAnsi="Times New Roman" w:cs="Times New Roman"/>
                <w:sz w:val="20"/>
                <w:szCs w:val="20"/>
              </w:rPr>
              <w:t>following scenarios</w:t>
            </w:r>
            <w:r>
              <w:rPr>
                <w:rFonts w:ascii="Times New Roman" w:hAnsi="Times New Roman" w:cs="Times New Roman"/>
                <w:sz w:val="20"/>
                <w:szCs w:val="20"/>
              </w:rPr>
              <w:t>:</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when there is no</w:t>
            </w:r>
            <w:r>
              <w:rPr>
                <w:rFonts w:ascii="Times New Roman" w:hAnsi="Times New Roman" w:cs="Times New Roman"/>
                <w:sz w:val="20"/>
                <w:szCs w:val="20"/>
              </w:rPr>
              <w:t xml:space="preserve"> adjacent</w:t>
            </w:r>
            <w:r>
              <w:rPr>
                <w:rFonts w:hint="eastAsia" w:ascii="Times New Roman" w:hAnsi="Times New Roman" w:cs="Times New Roman"/>
                <w:sz w:val="20"/>
                <w:szCs w:val="20"/>
              </w:rPr>
              <w:t xml:space="preserve"> </w:t>
            </w:r>
            <w:r>
              <w:rPr>
                <w:rFonts w:ascii="Times New Roman" w:hAnsi="Times New Roman" w:cs="Times New Roman"/>
                <w:sz w:val="20"/>
                <w:szCs w:val="20"/>
              </w:rPr>
              <w:t>in-band/out-of-band co-existence issue</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when a UE uses a narrower channel bandwidth within a wider BS bandwidth</w:t>
            </w:r>
          </w:p>
          <w:bookmarkEnd w:id="8"/>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w:t>
            </w:r>
            <w:r>
              <w:rPr>
                <w:rFonts w:hint="eastAsia" w:ascii="Times New Roman" w:hAnsi="Times New Roman" w:cs="Times New Roman"/>
                <w:sz w:val="20"/>
                <w:szCs w:val="20"/>
              </w:rPr>
              <w:t xml:space="preserve"> </w:t>
            </w:r>
            <w:r>
              <w:rPr>
                <w:rFonts w:ascii="Times New Roman" w:hAnsi="Times New Roman" w:cs="Times New Roman"/>
                <w:sz w:val="20"/>
                <w:szCs w:val="20"/>
              </w:rPr>
              <w:t>b</w:t>
            </w:r>
            <w:r>
              <w:rPr>
                <w:rFonts w:hint="eastAsia" w:ascii="Times New Roman" w:hAnsi="Times New Roman" w:cs="Times New Roman"/>
                <w:sz w:val="20"/>
                <w:szCs w:val="20"/>
              </w:rPr>
              <w:t xml:space="preserve">oth </w:t>
            </w:r>
            <w:r>
              <w:rPr>
                <w:rFonts w:ascii="Times New Roman" w:hAnsi="Times New Roman" w:cs="Times New Roman"/>
                <w:sz w:val="20"/>
                <w:szCs w:val="20"/>
              </w:rPr>
              <w:t>(e)</w:t>
            </w:r>
            <w:r>
              <w:rPr>
                <w:rFonts w:hint="eastAsia" w:ascii="Times New Roman" w:hAnsi="Times New Roman" w:cs="Times New Roman"/>
                <w:sz w:val="20"/>
                <w:szCs w:val="20"/>
              </w:rPr>
              <w:t>RedCap UE</w:t>
            </w:r>
            <w:r>
              <w:rPr>
                <w:rFonts w:ascii="Times New Roman" w:hAnsi="Times New Roman" w:cs="Times New Roman"/>
                <w:sz w:val="20"/>
                <w:szCs w:val="20"/>
              </w:rPr>
              <w:t xml:space="preserve"> (only PC3)</w:t>
            </w:r>
            <w:r>
              <w:rPr>
                <w:rFonts w:hint="eastAsia" w:ascii="Times New Roman" w:hAnsi="Times New Roman" w:cs="Times New Roman"/>
                <w:sz w:val="20"/>
                <w:szCs w:val="20"/>
              </w:rPr>
              <w:t xml:space="preserve"> and non-RedCap UE</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Limited to QSPK and 16QAM</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Specify </w:t>
            </w:r>
            <w:bookmarkStart w:id="9" w:name="OLE_LINK11"/>
            <w:r>
              <w:rPr>
                <w:rFonts w:ascii="Times New Roman" w:hAnsi="Times New Roman" w:cs="Times New Roman"/>
                <w:sz w:val="20"/>
                <w:szCs w:val="20"/>
              </w:rPr>
              <w:t xml:space="preserve">MPR applicability based on the UL CCs with activated cells </w:t>
            </w:r>
            <w:bookmarkEnd w:id="9"/>
            <w:r>
              <w:rPr>
                <w:rFonts w:ascii="Times New Roman" w:hAnsi="Times New Roman" w:cs="Times New Roman"/>
                <w:sz w:val="20"/>
                <w:szCs w:val="20"/>
              </w:rPr>
              <w:t>for NR intra-band UL CA configuration</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Include both intra-band UL </w:t>
            </w:r>
            <w:r>
              <w:rPr>
                <w:rFonts w:ascii="Times New Roman" w:hAnsi="Times New Roman" w:cs="Times New Roman"/>
                <w:sz w:val="20"/>
                <w:szCs w:val="20"/>
              </w:rPr>
              <w:t>contiguous</w:t>
            </w:r>
            <w:r>
              <w:rPr>
                <w:rFonts w:hint="eastAsia" w:ascii="Times New Roman" w:hAnsi="Times New Roman" w:cs="Times New Roman"/>
                <w:sz w:val="20"/>
                <w:szCs w:val="20"/>
              </w:rPr>
              <w:t xml:space="preserve"> </w:t>
            </w:r>
            <w:r>
              <w:rPr>
                <w:rFonts w:ascii="Times New Roman" w:hAnsi="Times New Roman" w:cs="Times New Roman"/>
                <w:sz w:val="20"/>
                <w:szCs w:val="20"/>
              </w:rPr>
              <w:t>CA and intra-band non-contiguous UL CA for FR1</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 intra-band UL contiguous CA and intra-band DL contiguous CA with single UL for FR2</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MPR requirement is not applicable until the </w:t>
            </w:r>
            <w:bookmarkStart w:id="10" w:name="OLE_LINK13"/>
            <w:r>
              <w:rPr>
                <w:rFonts w:ascii="Times New Roman" w:hAnsi="Times New Roman" w:cs="Times New Roman"/>
                <w:sz w:val="20"/>
                <w:szCs w:val="20"/>
              </w:rPr>
              <w:t>SCell is activated</w:t>
            </w:r>
            <w:bookmarkEnd w:id="10"/>
          </w:p>
          <w:p>
            <w:pPr>
              <w:pStyle w:val="34"/>
              <w:numPr>
                <w:ilvl w:val="1"/>
                <w:numId w:val="8"/>
              </w:numPr>
              <w:overflowPunct w:val="0"/>
              <w:autoSpaceDE w:val="0"/>
              <w:autoSpaceDN w:val="0"/>
              <w:adjustRightInd w:val="0"/>
              <w:spacing w:after="180"/>
              <w:ind w:firstLineChars="0"/>
              <w:jc w:val="left"/>
              <w:textAlignment w:val="baseline"/>
              <w:rPr>
                <w:rFonts w:hint="default" w:eastAsia="宋体"/>
                <w:i w:val="0"/>
                <w:iCs w:val="0"/>
                <w:sz w:val="20"/>
                <w:szCs w:val="20"/>
                <w:vertAlign w:val="baseline"/>
                <w:lang w:val="en-US" w:eastAsia="zh-CN"/>
              </w:rPr>
            </w:pPr>
            <w:r>
              <w:rPr>
                <w:rFonts w:ascii="Times New Roman" w:hAnsi="Times New Roman" w:cs="Times New Roman"/>
                <w:sz w:val="20"/>
                <w:szCs w:val="20"/>
              </w:rPr>
              <w:t>Necessary signaling to support the above objectives</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
              <w:numPr>
                <w:ilvl w:val="1"/>
                <w:numId w:val="0"/>
              </w:numPr>
              <w:overflowPunct w:val="0"/>
              <w:autoSpaceDE w:val="0"/>
              <w:autoSpaceDN w:val="0"/>
              <w:adjustRightInd w:val="0"/>
              <w:ind w:leftChars="0" w:right="0" w:rightChars="0"/>
              <w:textAlignment w:val="baseline"/>
              <w:rPr>
                <w:sz w:val="24"/>
              </w:rPr>
            </w:pPr>
            <w:r>
              <w:rPr>
                <w:sz w:val="24"/>
              </w:rPr>
              <w:t xml:space="preserve">2.1 MPR applicability for FR1 intra-band contiguous UL CA </w:t>
            </w:r>
          </w:p>
          <w:p>
            <w:pPr>
              <w:overflowPunct w:val="0"/>
              <w:autoSpaceDE w:val="0"/>
              <w:autoSpaceDN w:val="0"/>
              <w:adjustRightInd w:val="0"/>
              <w:spacing w:after="180"/>
              <w:textAlignment w:val="baseline"/>
              <w:rPr>
                <w:b/>
                <w:sz w:val="20"/>
                <w:szCs w:val="20"/>
                <w:lang w:eastAsia="zh-CN"/>
              </w:rPr>
            </w:pPr>
            <w:r>
              <w:rPr>
                <w:b/>
                <w:sz w:val="20"/>
                <w:szCs w:val="20"/>
                <w:lang w:eastAsia="zh-CN"/>
              </w:rPr>
              <w:t>Way forward:</w:t>
            </w:r>
          </w:p>
          <w:p>
            <w:pPr>
              <w:pStyle w:val="34"/>
              <w:numPr>
                <w:ilvl w:val="0"/>
                <w:numId w:val="9"/>
              </w:numPr>
              <w:overflowPunct w:val="0"/>
              <w:autoSpaceDE w:val="0"/>
              <w:autoSpaceDN w:val="0"/>
              <w:adjustRightInd w:val="0"/>
              <w:spacing w:after="180"/>
              <w:ind w:firstLineChars="0"/>
              <w:textAlignment w:val="baseline"/>
              <w:rPr>
                <w:rFonts w:eastAsiaTheme="minorEastAsia"/>
                <w:sz w:val="20"/>
                <w:szCs w:val="20"/>
                <w:lang w:eastAsia="zh-CN"/>
              </w:rPr>
            </w:pPr>
            <w:r>
              <w:rPr>
                <w:rFonts w:eastAsiaTheme="minorEastAsia"/>
                <w:sz w:val="20"/>
                <w:szCs w:val="20"/>
                <w:lang w:eastAsia="zh-CN"/>
              </w:rPr>
              <w:t xml:space="preserve">[For PC3, the single CC MPR requirements (Table 6.2.2-1) can be applied to FR1 intra-band contiguous UL CA with only one UL CC activated. </w:t>
            </w:r>
          </w:p>
          <w:p>
            <w:pPr>
              <w:pStyle w:val="34"/>
              <w:numPr>
                <w:ilvl w:val="0"/>
                <w:numId w:val="9"/>
              </w:numPr>
              <w:overflowPunct w:val="0"/>
              <w:autoSpaceDE w:val="0"/>
              <w:autoSpaceDN w:val="0"/>
              <w:adjustRightInd w:val="0"/>
              <w:spacing w:after="180"/>
              <w:ind w:firstLineChars="0"/>
              <w:textAlignment w:val="baseline"/>
            </w:pPr>
            <w:r>
              <w:rPr>
                <w:rFonts w:eastAsiaTheme="minorEastAsia"/>
                <w:sz w:val="20"/>
                <w:szCs w:val="20"/>
                <w:lang w:eastAsia="zh-CN"/>
              </w:rPr>
              <w:t xml:space="preserve">For PC2, the single CC MPR requirements can be applied to FR1 intra-band contiguous UL CA with only one UL CC activated. If TxD is indicated for this intra-band contiguous ULCA, single CC with TxD MPR (Table 6.2D.2-1) should apply; if TxD is not indicated for this intra-band contiguous ULCA, single CC without TxD MPR (Table 6.2.2-2) should apply.] </w:t>
            </w:r>
          </w:p>
          <w:p>
            <w:pPr>
              <w:pStyle w:val="3"/>
              <w:numPr>
                <w:ilvl w:val="1"/>
                <w:numId w:val="0"/>
              </w:numPr>
              <w:overflowPunct w:val="0"/>
              <w:autoSpaceDE w:val="0"/>
              <w:autoSpaceDN w:val="0"/>
              <w:adjustRightInd w:val="0"/>
              <w:ind w:leftChars="0" w:right="0" w:rightChars="0"/>
              <w:textAlignment w:val="baseline"/>
              <w:rPr>
                <w:sz w:val="24"/>
              </w:rPr>
            </w:pPr>
            <w:r>
              <w:rPr>
                <w:sz w:val="24"/>
              </w:rPr>
              <w:t xml:space="preserve">2.2 MPR applicability for FR1 intra-band UL non-contiguous CA </w:t>
            </w:r>
          </w:p>
          <w:p>
            <w:pPr>
              <w:overflowPunct w:val="0"/>
              <w:autoSpaceDE w:val="0"/>
              <w:autoSpaceDN w:val="0"/>
              <w:adjustRightInd w:val="0"/>
              <w:spacing w:after="180"/>
              <w:textAlignment w:val="baseline"/>
              <w:rPr>
                <w:b/>
                <w:sz w:val="20"/>
                <w:szCs w:val="20"/>
                <w:lang w:eastAsia="zh-CN"/>
              </w:rPr>
            </w:pPr>
            <w:r>
              <w:rPr>
                <w:b/>
                <w:sz w:val="20"/>
                <w:szCs w:val="20"/>
                <w:lang w:eastAsia="zh-CN"/>
              </w:rPr>
              <w:t>Way forward:</w:t>
            </w:r>
          </w:p>
          <w:p>
            <w:pPr>
              <w:pStyle w:val="34"/>
              <w:numPr>
                <w:ilvl w:val="0"/>
                <w:numId w:val="9"/>
              </w:numPr>
              <w:overflowPunct w:val="0"/>
              <w:autoSpaceDE w:val="0"/>
              <w:autoSpaceDN w:val="0"/>
              <w:adjustRightInd w:val="0"/>
              <w:spacing w:after="180"/>
              <w:ind w:firstLineChars="0"/>
              <w:textAlignment w:val="baseline"/>
              <w:rPr>
                <w:vertAlign w:val="baseline"/>
              </w:rPr>
            </w:pPr>
            <w:r>
              <w:rPr>
                <w:rFonts w:eastAsiaTheme="minorEastAsia"/>
                <w:sz w:val="20"/>
                <w:szCs w:val="20"/>
                <w:lang w:eastAsia="zh-CN"/>
              </w:rPr>
              <w:t>FFS in the next meeting</w:t>
            </w:r>
          </w:p>
        </w:tc>
      </w:tr>
    </w:tbl>
    <w:p>
      <w:pPr>
        <w:bidi w:val="0"/>
        <w:rPr>
          <w:rFonts w:hint="default"/>
          <w:sz w:val="20"/>
          <w:szCs w:val="20"/>
          <w:lang w:val="en-US"/>
        </w:rPr>
      </w:pPr>
      <w:r>
        <w:rPr>
          <w:rFonts w:hint="eastAsia"/>
          <w:sz w:val="20"/>
          <w:szCs w:val="20"/>
          <w:lang w:val="en-US" w:eastAsia="zh-CN"/>
        </w:rPr>
        <w:t>The above is way forward in last meeting [2]. It can be seen that way forward about MPR applicability for FR1 intra-band contiguous UL CA tends to be agreed.</w:t>
      </w:r>
    </w:p>
    <w:p>
      <w:pPr>
        <w:bidi w:val="0"/>
        <w:rPr>
          <w:rFonts w:hint="eastAsia"/>
          <w:b/>
          <w:bCs/>
          <w:sz w:val="20"/>
          <w:szCs w:val="20"/>
          <w:lang w:val="en-US" w:eastAsia="zh-CN"/>
        </w:rPr>
      </w:pPr>
      <w:r>
        <w:rPr>
          <w:rFonts w:hint="eastAsia"/>
          <w:b/>
          <w:bCs/>
          <w:sz w:val="20"/>
          <w:szCs w:val="20"/>
          <w:lang w:val="en-US" w:eastAsia="zh-CN"/>
        </w:rPr>
        <w:t xml:space="preserve">MPR applicability for FR1 intra-band contiguous UL CA </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i w:val="0"/>
          <w:iCs w:val="0"/>
          <w:sz w:val="20"/>
          <w:szCs w:val="20"/>
          <w:lang w:val="en-US" w:eastAsia="zh-CN"/>
        </w:rPr>
      </w:pPr>
      <w:bookmarkStart w:id="11" w:name="OLE_LINK66"/>
      <w:bookmarkStart w:id="12" w:name="OLE_LINK23"/>
      <w:bookmarkStart w:id="13" w:name="OLE_LINK50"/>
      <w:r>
        <w:rPr>
          <w:rFonts w:hint="eastAsia"/>
          <w:i w:val="0"/>
          <w:iCs w:val="0"/>
          <w:sz w:val="20"/>
          <w:szCs w:val="20"/>
          <w:lang w:val="en-US" w:eastAsia="zh-CN"/>
        </w:rPr>
        <w:t>When all UL CCs are configured by NW and no UL Scell is deactivated, the current MPR requirements for intra-band UL CA remain unchanged.</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cs="Times New Roman"/>
          <w:iCs/>
          <w:sz w:val="20"/>
          <w:szCs w:val="20"/>
          <w:lang w:val="en-US" w:eastAsia="zh-CN"/>
        </w:rPr>
      </w:pPr>
      <w:r>
        <w:rPr>
          <w:rFonts w:hint="eastAsia"/>
          <w:i w:val="0"/>
          <w:iCs w:val="0"/>
          <w:sz w:val="20"/>
          <w:szCs w:val="20"/>
          <w:lang w:val="en-US" w:eastAsia="zh-CN"/>
        </w:rPr>
        <w:t xml:space="preserve">When the </w:t>
      </w:r>
      <w:bookmarkStart w:id="14" w:name="OLE_LINK40"/>
      <w:r>
        <w:rPr>
          <w:rFonts w:hint="eastAsia"/>
          <w:i w:val="0"/>
          <w:iCs w:val="0"/>
          <w:sz w:val="20"/>
          <w:szCs w:val="20"/>
          <w:lang w:val="en-US" w:eastAsia="zh-CN"/>
        </w:rPr>
        <w:t>UL Scell is deactivated</w:t>
      </w:r>
      <w:bookmarkEnd w:id="14"/>
      <w:r>
        <w:rPr>
          <w:rFonts w:hint="eastAsia"/>
          <w:i w:val="0"/>
          <w:iCs w:val="0"/>
          <w:sz w:val="20"/>
          <w:szCs w:val="20"/>
          <w:lang w:val="en-US" w:eastAsia="zh-CN"/>
        </w:rPr>
        <w:t xml:space="preserve">, considering that currently only up to 2CCs are supported in the UL for FR1 intra-band UL CA, it is reasonable to </w:t>
      </w:r>
      <w:r>
        <w:rPr>
          <w:rFonts w:hint="eastAsia" w:cs="Times New Roman"/>
          <w:iCs/>
          <w:sz w:val="20"/>
          <w:szCs w:val="20"/>
          <w:lang w:val="en-US" w:eastAsia="zh-CN"/>
        </w:rPr>
        <w:t>adhere to</w:t>
      </w:r>
      <w:r>
        <w:rPr>
          <w:rFonts w:ascii="Times New Roman" w:hAnsi="Times New Roman" w:cs="Times New Roman"/>
          <w:iCs/>
          <w:sz w:val="20"/>
          <w:szCs w:val="20"/>
          <w:lang w:eastAsia="zh-CN"/>
        </w:rPr>
        <w:t xml:space="preserve"> the MPR requirements of single CC operation</w:t>
      </w:r>
      <w:r>
        <w:rPr>
          <w:rFonts w:hint="eastAsia" w:cs="Times New Roman"/>
          <w:iCs/>
          <w:sz w:val="20"/>
          <w:szCs w:val="20"/>
          <w:lang w:val="en-US" w:eastAsia="zh-CN"/>
        </w:rPr>
        <w:t xml:space="preserve"> to allow for higher transmission output power with lower MPR requirements, provided no new evaluation are carried out for the new MPR requirements. </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cs="Times New Roman"/>
          <w:iCs/>
          <w:sz w:val="20"/>
          <w:szCs w:val="20"/>
          <w:lang w:val="en-US" w:eastAsia="zh-CN"/>
        </w:rPr>
      </w:pPr>
      <w:r>
        <w:rPr>
          <w:rFonts w:hint="eastAsia" w:cs="Times New Roman"/>
          <w:iCs/>
          <w:sz w:val="20"/>
          <w:szCs w:val="20"/>
          <w:lang w:val="en-US" w:eastAsia="zh-CN"/>
        </w:rPr>
        <w:t xml:space="preserve">With regard to MPR for PC3 intra-band contiguous UL CA, there are two MPR tables for contiguous RB allocation </w:t>
      </w:r>
      <w:r>
        <w:rPr>
          <w:rFonts w:eastAsiaTheme="minorEastAsia"/>
          <w:sz w:val="20"/>
          <w:szCs w:val="20"/>
          <w:lang w:eastAsia="zh-CN"/>
        </w:rPr>
        <w:t>(Table 6.2</w:t>
      </w:r>
      <w:r>
        <w:rPr>
          <w:rFonts w:hint="eastAsia" w:eastAsiaTheme="minorEastAsia"/>
          <w:sz w:val="20"/>
          <w:szCs w:val="20"/>
          <w:lang w:val="en-US" w:eastAsia="zh-CN"/>
        </w:rPr>
        <w:t>A</w:t>
      </w:r>
      <w:r>
        <w:rPr>
          <w:rFonts w:eastAsiaTheme="minorEastAsia"/>
          <w:sz w:val="20"/>
          <w:szCs w:val="20"/>
          <w:lang w:eastAsia="zh-CN"/>
        </w:rPr>
        <w:t>.2</w:t>
      </w:r>
      <w:r>
        <w:rPr>
          <w:rFonts w:hint="eastAsia" w:eastAsiaTheme="minorEastAsia"/>
          <w:sz w:val="20"/>
          <w:szCs w:val="20"/>
          <w:lang w:val="en-US" w:eastAsia="zh-CN"/>
        </w:rPr>
        <w:t>.1</w:t>
      </w:r>
      <w:r>
        <w:rPr>
          <w:rFonts w:eastAsiaTheme="minorEastAsia"/>
          <w:sz w:val="20"/>
          <w:szCs w:val="20"/>
          <w:lang w:eastAsia="zh-CN"/>
        </w:rPr>
        <w:t>-1)</w:t>
      </w:r>
      <w:r>
        <w:rPr>
          <w:rFonts w:hint="eastAsia" w:cs="Times New Roman"/>
          <w:iCs/>
          <w:sz w:val="20"/>
          <w:szCs w:val="20"/>
          <w:lang w:val="en-US" w:eastAsia="zh-CN"/>
        </w:rPr>
        <w:t xml:space="preserve"> and non-contiguous RB allocation </w:t>
      </w:r>
      <w:r>
        <w:rPr>
          <w:rFonts w:eastAsiaTheme="minorEastAsia"/>
          <w:sz w:val="20"/>
          <w:szCs w:val="20"/>
          <w:lang w:eastAsia="zh-CN"/>
        </w:rPr>
        <w:t>(Table 6.2</w:t>
      </w:r>
      <w:r>
        <w:rPr>
          <w:rFonts w:hint="eastAsia" w:eastAsiaTheme="minorEastAsia"/>
          <w:sz w:val="20"/>
          <w:szCs w:val="20"/>
          <w:lang w:val="en-US" w:eastAsia="zh-CN"/>
        </w:rPr>
        <w:t>A</w:t>
      </w:r>
      <w:r>
        <w:rPr>
          <w:rFonts w:eastAsiaTheme="minorEastAsia"/>
          <w:sz w:val="20"/>
          <w:szCs w:val="20"/>
          <w:lang w:eastAsia="zh-CN"/>
        </w:rPr>
        <w:t>.2</w:t>
      </w:r>
      <w:r>
        <w:rPr>
          <w:rFonts w:hint="eastAsia" w:eastAsiaTheme="minorEastAsia"/>
          <w:sz w:val="20"/>
          <w:szCs w:val="20"/>
          <w:lang w:val="en-US" w:eastAsia="zh-CN"/>
        </w:rPr>
        <w:t>.1</w:t>
      </w:r>
      <w:r>
        <w:rPr>
          <w:rFonts w:eastAsiaTheme="minorEastAsia"/>
          <w:sz w:val="20"/>
          <w:szCs w:val="20"/>
          <w:lang w:eastAsia="zh-CN"/>
        </w:rPr>
        <w:t>-</w:t>
      </w:r>
      <w:r>
        <w:rPr>
          <w:rFonts w:hint="eastAsia" w:eastAsiaTheme="minorEastAsia"/>
          <w:sz w:val="20"/>
          <w:szCs w:val="20"/>
          <w:lang w:val="en-US" w:eastAsia="zh-CN"/>
        </w:rPr>
        <w:t>2</w:t>
      </w:r>
      <w:r>
        <w:rPr>
          <w:rFonts w:eastAsiaTheme="minorEastAsia"/>
          <w:sz w:val="20"/>
          <w:szCs w:val="20"/>
          <w:lang w:eastAsia="zh-CN"/>
        </w:rPr>
        <w:t>)</w:t>
      </w:r>
      <w:r>
        <w:rPr>
          <w:rFonts w:hint="eastAsia" w:cs="Times New Roman"/>
          <w:iCs/>
          <w:sz w:val="20"/>
          <w:szCs w:val="20"/>
          <w:lang w:val="en-US" w:eastAsia="zh-CN"/>
        </w:rPr>
        <w:t xml:space="preserve"> respectively. For PC3 single CC operation, there is only one MPR table</w:t>
      </w:r>
      <w:r>
        <w:rPr>
          <w:rFonts w:eastAsiaTheme="minorEastAsia"/>
          <w:sz w:val="20"/>
          <w:szCs w:val="20"/>
          <w:lang w:eastAsia="zh-CN"/>
        </w:rPr>
        <w:t xml:space="preserve"> (Table 6.2.2-1)</w:t>
      </w:r>
      <w:r>
        <w:rPr>
          <w:rFonts w:hint="eastAsia" w:cs="Times New Roman"/>
          <w:iCs/>
          <w:sz w:val="20"/>
          <w:szCs w:val="20"/>
          <w:lang w:val="en-US" w:eastAsia="zh-CN"/>
        </w:rPr>
        <w:t>. When only one UL CC is activated, the single CC MPR requirements (Table 6.2.2-1) can be applied to FR1 intra-band contiguous UL CA.</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default" w:cs="Times New Roman"/>
          <w:iCs/>
          <w:sz w:val="20"/>
          <w:szCs w:val="20"/>
          <w:lang w:val="en-US" w:eastAsia="zh-CN"/>
        </w:rPr>
      </w:pPr>
      <w:r>
        <w:rPr>
          <w:rFonts w:hint="eastAsia"/>
          <w:b/>
          <w:bCs/>
          <w:i/>
          <w:iCs/>
          <w:sz w:val="20"/>
          <w:szCs w:val="20"/>
          <w:lang w:val="en-US" w:eastAsia="zh-CN"/>
        </w:rPr>
        <w:t>Proposal 1: For PC3, the single CC MPR requirements (Table 6.2.2-1) can be applied to FR1 intra-band contiguous UL CA with only one UL CC activated.</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cs="Times New Roman"/>
          <w:iCs/>
          <w:sz w:val="20"/>
          <w:szCs w:val="20"/>
          <w:lang w:val="en-US" w:eastAsia="zh-CN"/>
        </w:rPr>
      </w:pPr>
      <w:r>
        <w:rPr>
          <w:rFonts w:hint="eastAsia" w:cs="Times New Roman"/>
          <w:iCs/>
          <w:sz w:val="20"/>
          <w:szCs w:val="20"/>
          <w:lang w:val="en-US" w:eastAsia="zh-CN"/>
        </w:rPr>
        <w:t>Regarding MPR for PC2 intra-band contiguous UL CA, there are two types of MPR tables. The first set (</w:t>
      </w:r>
      <w:r>
        <w:rPr>
          <w:sz w:val="20"/>
          <w:szCs w:val="20"/>
        </w:rPr>
        <w:t>Table 6.2A.2.1-1a</w:t>
      </w:r>
      <w:r>
        <w:rPr>
          <w:rFonts w:hint="eastAsia"/>
          <w:sz w:val="20"/>
          <w:szCs w:val="20"/>
          <w:lang w:val="en-US" w:eastAsia="zh-CN"/>
        </w:rPr>
        <w:t xml:space="preserve"> for contiguous RB allocation and Table 6.2A.2.1-3 for non-contiguous RB allocation</w:t>
      </w:r>
      <w:r>
        <w:rPr>
          <w:rFonts w:hint="eastAsia" w:cs="Times New Roman"/>
          <w:iCs/>
          <w:sz w:val="20"/>
          <w:szCs w:val="20"/>
          <w:lang w:val="en-US" w:eastAsia="zh-CN"/>
        </w:rPr>
        <w:t xml:space="preserve">) applies to PC2 CA bandwidth classes B and C when the signalling is absent for </w:t>
      </w:r>
      <w:r>
        <w:rPr>
          <w:rFonts w:hint="eastAsia" w:cs="Times New Roman"/>
          <w:i/>
          <w:iCs w:val="0"/>
          <w:sz w:val="20"/>
          <w:szCs w:val="20"/>
          <w:lang w:val="en-US" w:eastAsia="zh-CN"/>
        </w:rPr>
        <w:t>dualPA-Architecture</w:t>
      </w:r>
      <w:r>
        <w:rPr>
          <w:rFonts w:hint="eastAsia" w:cs="Times New Roman"/>
          <w:iCs/>
          <w:sz w:val="20"/>
          <w:szCs w:val="20"/>
          <w:lang w:val="en-US" w:eastAsia="zh-CN"/>
        </w:rPr>
        <w:t xml:space="preserve"> IE, as well as for PC2 CA bandwidth classe C when the signalling is indicated for </w:t>
      </w:r>
      <w:r>
        <w:rPr>
          <w:rFonts w:hint="eastAsia" w:cs="Times New Roman"/>
          <w:i/>
          <w:iCs w:val="0"/>
          <w:sz w:val="20"/>
          <w:szCs w:val="20"/>
          <w:lang w:val="en-US" w:eastAsia="zh-CN"/>
        </w:rPr>
        <w:t>dualPA-Architecture</w:t>
      </w:r>
      <w:r>
        <w:rPr>
          <w:rFonts w:hint="eastAsia" w:cs="Times New Roman"/>
          <w:iCs/>
          <w:sz w:val="20"/>
          <w:szCs w:val="20"/>
          <w:lang w:val="en-US" w:eastAsia="zh-CN"/>
        </w:rPr>
        <w:t xml:space="preserve"> IE. The second set (</w:t>
      </w:r>
      <w:r>
        <w:rPr>
          <w:sz w:val="20"/>
          <w:szCs w:val="20"/>
        </w:rPr>
        <w:t>Table 6.2A.2.1-1</w:t>
      </w:r>
      <w:r>
        <w:rPr>
          <w:rFonts w:hint="eastAsia"/>
          <w:sz w:val="20"/>
          <w:szCs w:val="20"/>
          <w:lang w:val="en-US" w:eastAsia="zh-CN"/>
        </w:rPr>
        <w:t>b for contiguous RB allocation and Table 6.2A.2.1-4 for non-contiguous RB allocation</w:t>
      </w:r>
      <w:r>
        <w:rPr>
          <w:rFonts w:hint="eastAsia" w:cs="Times New Roman"/>
          <w:iCs/>
          <w:sz w:val="20"/>
          <w:szCs w:val="20"/>
          <w:lang w:val="en-US" w:eastAsia="zh-CN"/>
        </w:rPr>
        <w:t>) is applicable to power class 2 CA bandwidth classes B and C with TxD supported. These two sets of MPR tables are relevant for three architectures as detailed in the following table. For PC2 single CC operation, there are also two types of MPR tables: Table 6.2.2-2 is for single CC with dual Tx and Table 6.2D.2-1 is for single CC with dual Tx. Hence, MPR applicability for PC2 intra-band contiguous UL CA can be summarized as follows:</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jc w:val="center"/>
        <w:textAlignment w:val="baseline"/>
        <w:rPr>
          <w:rFonts w:hint="default" w:cs="Times New Roman"/>
          <w:b/>
          <w:bCs/>
          <w:iCs/>
          <w:sz w:val="20"/>
          <w:szCs w:val="20"/>
          <w:lang w:val="en-US" w:eastAsia="zh-CN"/>
        </w:rPr>
      </w:pPr>
      <w:r>
        <w:rPr>
          <w:rFonts w:hint="eastAsia" w:cs="Times New Roman"/>
          <w:b/>
          <w:bCs/>
          <w:iCs/>
          <w:sz w:val="20"/>
          <w:szCs w:val="20"/>
          <w:lang w:val="en-US" w:eastAsia="zh-CN"/>
        </w:rPr>
        <w:t>Table 2.1: MPR applicability for FR1 intra-band contiguous UL CA</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2"/>
        <w:gridCol w:w="2944"/>
        <w:gridCol w:w="3021"/>
        <w:gridCol w:w="2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tcBorders>
              <w:top w:val="single" w:color="auto" w:sz="8" w:space="0"/>
              <w:left w:val="nil"/>
              <w:bottom w:val="single" w:color="auto" w:sz="8" w:space="0"/>
            </w:tcBorders>
            <w:shd w:val="clear" w:color="auto" w:fill="F1F1F1" w:themeFill="background1" w:themeFillShade="F2"/>
          </w:tcPr>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after="180" w:line="240" w:lineRule="auto"/>
              <w:textAlignment w:val="baseline"/>
              <w:rPr>
                <w:rFonts w:hint="default" w:cs="Times New Roman"/>
                <w:b/>
                <w:bCs/>
                <w:iCs/>
                <w:sz w:val="20"/>
                <w:szCs w:val="20"/>
                <w:vertAlign w:val="baseline"/>
                <w:lang w:val="en-US" w:eastAsia="zh-CN"/>
              </w:rPr>
            </w:pPr>
            <w:r>
              <w:rPr>
                <w:rFonts w:hint="eastAsia" w:cs="Times New Roman"/>
                <w:b/>
                <w:bCs/>
                <w:iCs/>
                <w:sz w:val="20"/>
                <w:szCs w:val="20"/>
                <w:vertAlign w:val="baseline"/>
                <w:lang w:val="en-US" w:eastAsia="zh-CN"/>
              </w:rPr>
              <w:t>Architecture</w:t>
            </w:r>
          </w:p>
        </w:tc>
        <w:tc>
          <w:tcPr>
            <w:tcW w:w="2944" w:type="dxa"/>
            <w:tcBorders>
              <w:top w:val="single" w:color="auto" w:sz="8" w:space="0"/>
              <w:bottom w:val="single" w:color="auto" w:sz="8" w:space="0"/>
            </w:tcBorders>
            <w:shd w:val="clear" w:color="auto" w:fill="F1F1F1" w:themeFill="background1" w:themeFillShade="F2"/>
          </w:tcPr>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after="180" w:line="240" w:lineRule="auto"/>
              <w:textAlignment w:val="baseline"/>
              <w:rPr>
                <w:rFonts w:hint="default" w:cs="Times New Roman"/>
                <w:b/>
                <w:bCs/>
                <w:iCs/>
                <w:sz w:val="20"/>
                <w:szCs w:val="20"/>
                <w:vertAlign w:val="baseline"/>
                <w:lang w:val="en-US" w:eastAsia="zh-CN"/>
              </w:rPr>
            </w:pPr>
            <w:r>
              <w:rPr>
                <w:rFonts w:hint="eastAsia" w:cs="Times New Roman"/>
                <w:b/>
                <w:bCs/>
                <w:iCs/>
                <w:sz w:val="20"/>
                <w:szCs w:val="20"/>
                <w:vertAlign w:val="baseline"/>
                <w:lang w:val="en-US" w:eastAsia="zh-CN"/>
              </w:rPr>
              <w:t>Capability</w:t>
            </w:r>
          </w:p>
        </w:tc>
        <w:tc>
          <w:tcPr>
            <w:tcW w:w="3021" w:type="dxa"/>
            <w:tcBorders>
              <w:top w:val="single" w:color="auto" w:sz="8" w:space="0"/>
              <w:bottom w:val="single" w:color="auto" w:sz="8" w:space="0"/>
            </w:tcBorders>
            <w:shd w:val="clear" w:color="auto" w:fill="F1F1F1" w:themeFill="background1" w:themeFillShade="F2"/>
          </w:tcPr>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after="180" w:line="240" w:lineRule="auto"/>
              <w:textAlignment w:val="baseline"/>
              <w:rPr>
                <w:rFonts w:hint="default" w:cs="Times New Roman"/>
                <w:b/>
                <w:bCs/>
                <w:iCs/>
                <w:sz w:val="20"/>
                <w:szCs w:val="20"/>
                <w:vertAlign w:val="baseline"/>
                <w:lang w:val="en-US" w:eastAsia="zh-CN"/>
              </w:rPr>
            </w:pPr>
            <w:r>
              <w:rPr>
                <w:rFonts w:hint="eastAsia" w:cs="Times New Roman"/>
                <w:b/>
                <w:bCs/>
                <w:iCs/>
                <w:sz w:val="20"/>
                <w:szCs w:val="20"/>
                <w:vertAlign w:val="baseline"/>
                <w:lang w:val="en-US" w:eastAsia="zh-CN"/>
              </w:rPr>
              <w:t>MPR for intra-band contiguous UL CA</w:t>
            </w:r>
          </w:p>
        </w:tc>
        <w:tc>
          <w:tcPr>
            <w:tcW w:w="2469" w:type="dxa"/>
            <w:tcBorders>
              <w:top w:val="single" w:color="auto" w:sz="8" w:space="0"/>
              <w:bottom w:val="single" w:color="auto" w:sz="8" w:space="0"/>
              <w:right w:val="nil"/>
            </w:tcBorders>
            <w:shd w:val="clear" w:color="auto" w:fill="F1F1F1" w:themeFill="background1" w:themeFillShade="F2"/>
          </w:tcPr>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after="180" w:line="240" w:lineRule="auto"/>
              <w:textAlignment w:val="baseline"/>
              <w:rPr>
                <w:rFonts w:hint="default" w:cs="Times New Roman"/>
                <w:b/>
                <w:bCs/>
                <w:iCs/>
                <w:sz w:val="20"/>
                <w:szCs w:val="20"/>
                <w:vertAlign w:val="baseline"/>
                <w:lang w:val="en-US" w:eastAsia="zh-CN"/>
              </w:rPr>
            </w:pPr>
            <w:r>
              <w:rPr>
                <w:rFonts w:hint="eastAsia" w:cs="Times New Roman"/>
                <w:b/>
                <w:bCs/>
                <w:iCs/>
                <w:sz w:val="20"/>
                <w:szCs w:val="20"/>
                <w:vertAlign w:val="baseline"/>
                <w:lang w:val="en-US" w:eastAsia="zh-CN"/>
              </w:rPr>
              <w:t>MPR for only one UL CC is activated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tcBorders>
              <w:top w:val="single" w:color="auto" w:sz="8" w:space="0"/>
              <w:left w:val="nil"/>
            </w:tcBorders>
          </w:tcPr>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after="180" w:line="240" w:lineRule="auto"/>
              <w:textAlignment w:val="baseline"/>
              <w:rPr>
                <w:rFonts w:hint="default" w:cs="Times New Roman"/>
                <w:iCs/>
                <w:sz w:val="20"/>
                <w:szCs w:val="20"/>
                <w:vertAlign w:val="baseline"/>
                <w:lang w:val="en-US" w:eastAsia="zh-CN"/>
              </w:rPr>
            </w:pPr>
            <w:r>
              <w:rPr>
                <w:rFonts w:ascii="Times New Roman" w:hAnsi="Times New Roman" w:cs="Times New Roman"/>
                <w:iCs/>
                <w:sz w:val="20"/>
                <w:szCs w:val="20"/>
                <w:lang w:eastAsia="zh-CN"/>
              </w:rPr>
              <w:t>1PA+1LO</w:t>
            </w:r>
          </w:p>
        </w:tc>
        <w:tc>
          <w:tcPr>
            <w:tcW w:w="2944" w:type="dxa"/>
            <w:tcBorders>
              <w:top w:val="single" w:color="auto" w:sz="8" w:space="0"/>
            </w:tcBorders>
          </w:tcPr>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after="180" w:line="240" w:lineRule="auto"/>
              <w:textAlignment w:val="baseline"/>
              <w:rPr>
                <w:rFonts w:hint="default" w:cs="Times New Roman"/>
                <w:iCs/>
                <w:sz w:val="20"/>
                <w:szCs w:val="20"/>
                <w:vertAlign w:val="baseline"/>
                <w:lang w:val="en-US" w:eastAsia="zh-CN"/>
              </w:rPr>
            </w:pPr>
            <w:r>
              <w:rPr>
                <w:rFonts w:hint="eastAsia" w:cs="Times New Roman"/>
                <w:i/>
                <w:iCs w:val="0"/>
                <w:sz w:val="20"/>
                <w:szCs w:val="20"/>
                <w:lang w:val="en-US" w:eastAsia="zh-CN"/>
              </w:rPr>
              <w:t>dualPA-Architecture</w:t>
            </w:r>
            <w:r>
              <w:rPr>
                <w:rFonts w:hint="eastAsia" w:cs="Times New Roman"/>
                <w:i w:val="0"/>
                <w:iCs/>
                <w:sz w:val="20"/>
                <w:szCs w:val="20"/>
                <w:lang w:val="en-US" w:eastAsia="zh-CN"/>
              </w:rPr>
              <w:t xml:space="preserve"> is absent</w:t>
            </w:r>
          </w:p>
        </w:tc>
        <w:tc>
          <w:tcPr>
            <w:tcW w:w="3021" w:type="dxa"/>
            <w:vMerge w:val="restart"/>
            <w:tcBorders>
              <w:top w:val="single" w:color="auto" w:sz="8" w:space="0"/>
            </w:tcBorders>
          </w:tcPr>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after="180" w:line="240" w:lineRule="auto"/>
              <w:textAlignment w:val="baseline"/>
              <w:rPr>
                <w:rFonts w:hint="default" w:cs="Times New Roman"/>
                <w:iCs/>
                <w:sz w:val="20"/>
                <w:szCs w:val="20"/>
                <w:vertAlign w:val="baseline"/>
                <w:lang w:val="en-US" w:eastAsia="zh-CN"/>
              </w:rPr>
            </w:pPr>
            <w:r>
              <w:rPr>
                <w:sz w:val="20"/>
                <w:szCs w:val="20"/>
              </w:rPr>
              <w:t>Table 6.2A.2.1-1a</w:t>
            </w:r>
            <w:r>
              <w:rPr>
                <w:rFonts w:hint="eastAsia"/>
                <w:sz w:val="20"/>
                <w:szCs w:val="20"/>
                <w:lang w:val="en-US" w:eastAsia="zh-CN"/>
              </w:rPr>
              <w:t xml:space="preserve"> for contiguous RB allocation and Table 6.2A.2.1-3 for non-contiguous RB allocation</w:t>
            </w:r>
          </w:p>
        </w:tc>
        <w:tc>
          <w:tcPr>
            <w:tcW w:w="2469" w:type="dxa"/>
            <w:vMerge w:val="restart"/>
            <w:tcBorders>
              <w:top w:val="single" w:color="auto" w:sz="8" w:space="0"/>
              <w:right w:val="nil"/>
            </w:tcBorders>
          </w:tcPr>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after="180" w:line="240" w:lineRule="auto"/>
              <w:textAlignment w:val="baseline"/>
              <w:rPr>
                <w:rFonts w:hint="default" w:cs="Times New Roman"/>
                <w:iCs/>
                <w:sz w:val="20"/>
                <w:szCs w:val="20"/>
                <w:vertAlign w:val="baseline"/>
                <w:lang w:val="en-US" w:eastAsia="zh-CN"/>
              </w:rPr>
            </w:pPr>
            <w:r>
              <w:rPr>
                <w:rFonts w:hint="eastAsia" w:cs="Times New Roman"/>
                <w:iCs/>
                <w:sz w:val="20"/>
                <w:szCs w:val="20"/>
                <w:lang w:val="en-US" w:eastAsia="zh-CN"/>
              </w:rPr>
              <w:t>Table 6.2.2-2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tcBorders>
              <w:left w:val="nil"/>
            </w:tcBorders>
          </w:tcPr>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after="180" w:line="240" w:lineRule="auto"/>
              <w:textAlignment w:val="baseline"/>
              <w:rPr>
                <w:rFonts w:hint="default" w:cs="Times New Roman"/>
                <w:iCs/>
                <w:sz w:val="20"/>
                <w:szCs w:val="20"/>
                <w:vertAlign w:val="baseline"/>
                <w:lang w:val="en-US" w:eastAsia="zh-CN"/>
              </w:rPr>
            </w:pPr>
            <w:r>
              <w:rPr>
                <w:rFonts w:ascii="Times New Roman" w:hAnsi="Times New Roman" w:cs="Times New Roman"/>
                <w:iCs/>
                <w:sz w:val="20"/>
                <w:szCs w:val="20"/>
                <w:lang w:eastAsia="zh-CN"/>
              </w:rPr>
              <w:t>2 PA+2 LO</w:t>
            </w:r>
          </w:p>
        </w:tc>
        <w:tc>
          <w:tcPr>
            <w:tcW w:w="2944" w:type="dxa"/>
          </w:tcPr>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after="180" w:line="240" w:lineRule="auto"/>
              <w:textAlignment w:val="baseline"/>
              <w:rPr>
                <w:rFonts w:hint="default" w:cs="Times New Roman"/>
                <w:iCs/>
                <w:sz w:val="20"/>
                <w:szCs w:val="20"/>
                <w:vertAlign w:val="baseline"/>
                <w:lang w:val="en-US" w:eastAsia="zh-CN"/>
              </w:rPr>
            </w:pPr>
            <w:r>
              <w:rPr>
                <w:rFonts w:hint="eastAsia" w:cs="Times New Roman"/>
                <w:i/>
                <w:iCs w:val="0"/>
                <w:sz w:val="20"/>
                <w:szCs w:val="20"/>
                <w:lang w:val="en-US" w:eastAsia="zh-CN"/>
              </w:rPr>
              <w:t>dualPA-Architecture</w:t>
            </w:r>
            <w:r>
              <w:rPr>
                <w:rFonts w:hint="eastAsia" w:cs="Times New Roman"/>
                <w:i w:val="0"/>
                <w:iCs/>
                <w:sz w:val="20"/>
                <w:szCs w:val="20"/>
                <w:lang w:val="en-US" w:eastAsia="zh-CN"/>
              </w:rPr>
              <w:t xml:space="preserve"> is indicated</w:t>
            </w:r>
          </w:p>
        </w:tc>
        <w:tc>
          <w:tcPr>
            <w:tcW w:w="3021" w:type="dxa"/>
            <w:vMerge w:val="continue"/>
          </w:tcPr>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after="180" w:line="240" w:lineRule="auto"/>
              <w:textAlignment w:val="baseline"/>
              <w:rPr>
                <w:rFonts w:hint="default" w:cs="Times New Roman"/>
                <w:iCs/>
                <w:sz w:val="20"/>
                <w:szCs w:val="20"/>
                <w:vertAlign w:val="baseline"/>
                <w:lang w:val="en-US" w:eastAsia="zh-CN"/>
              </w:rPr>
            </w:pPr>
          </w:p>
        </w:tc>
        <w:tc>
          <w:tcPr>
            <w:tcW w:w="2469" w:type="dxa"/>
            <w:vMerge w:val="continue"/>
            <w:tcBorders>
              <w:right w:val="nil"/>
            </w:tcBorders>
          </w:tcPr>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after="180" w:line="240" w:lineRule="auto"/>
              <w:textAlignment w:val="baseline"/>
              <w:rPr>
                <w:rFonts w:hint="default" w:cs="Times New Roman"/>
                <w:iCs/>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2" w:type="dxa"/>
            <w:tcBorders>
              <w:left w:val="nil"/>
              <w:bottom w:val="single" w:color="auto" w:sz="8" w:space="0"/>
            </w:tcBorders>
          </w:tcPr>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after="180" w:line="240" w:lineRule="auto"/>
              <w:textAlignment w:val="baseline"/>
              <w:rPr>
                <w:rFonts w:hint="default" w:cs="Times New Roman"/>
                <w:iCs/>
                <w:sz w:val="20"/>
                <w:szCs w:val="20"/>
                <w:vertAlign w:val="baseline"/>
                <w:lang w:val="en-US" w:eastAsia="zh-CN"/>
              </w:rPr>
            </w:pPr>
            <w:r>
              <w:rPr>
                <w:rFonts w:ascii="Times New Roman" w:hAnsi="Times New Roman" w:cs="Times New Roman"/>
                <w:iCs/>
                <w:sz w:val="20"/>
                <w:szCs w:val="20"/>
                <w:lang w:eastAsia="zh-CN"/>
              </w:rPr>
              <w:t>2 PA+1 LO</w:t>
            </w:r>
          </w:p>
        </w:tc>
        <w:tc>
          <w:tcPr>
            <w:tcW w:w="2944" w:type="dxa"/>
            <w:tcBorders>
              <w:bottom w:val="single" w:color="auto" w:sz="8" w:space="0"/>
            </w:tcBorders>
          </w:tcPr>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after="180" w:line="240" w:lineRule="auto"/>
              <w:textAlignment w:val="baseline"/>
              <w:rPr>
                <w:rFonts w:hint="default" w:cs="Times New Roman"/>
                <w:iCs/>
                <w:sz w:val="20"/>
                <w:szCs w:val="20"/>
                <w:vertAlign w:val="baseline"/>
                <w:lang w:val="en-US" w:eastAsia="zh-CN"/>
              </w:rPr>
            </w:pPr>
            <w:r>
              <w:rPr>
                <w:rFonts w:hint="eastAsia" w:cs="Times New Roman"/>
                <w:iCs/>
                <w:sz w:val="20"/>
                <w:szCs w:val="20"/>
                <w:lang w:val="en-US" w:eastAsia="zh-CN"/>
              </w:rPr>
              <w:t>Support TxD</w:t>
            </w:r>
          </w:p>
        </w:tc>
        <w:tc>
          <w:tcPr>
            <w:tcW w:w="3021" w:type="dxa"/>
            <w:tcBorders>
              <w:bottom w:val="single" w:color="auto" w:sz="8" w:space="0"/>
            </w:tcBorders>
          </w:tcPr>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after="180" w:line="240" w:lineRule="auto"/>
              <w:textAlignment w:val="baseline"/>
              <w:rPr>
                <w:rFonts w:hint="default" w:cs="Times New Roman"/>
                <w:iCs/>
                <w:sz w:val="20"/>
                <w:szCs w:val="20"/>
                <w:vertAlign w:val="baseline"/>
                <w:lang w:val="en-US" w:eastAsia="zh-CN"/>
              </w:rPr>
            </w:pPr>
            <w:r>
              <w:rPr>
                <w:sz w:val="20"/>
                <w:szCs w:val="20"/>
              </w:rPr>
              <w:t>Table 6.2A.2.1-1</w:t>
            </w:r>
            <w:r>
              <w:rPr>
                <w:rFonts w:hint="eastAsia"/>
                <w:sz w:val="20"/>
                <w:szCs w:val="20"/>
                <w:lang w:val="en-US" w:eastAsia="zh-CN"/>
              </w:rPr>
              <w:t>b for contiguous RB allocation and Table 6.2A.2.1-4 for non-contiguous RB allocation</w:t>
            </w:r>
          </w:p>
        </w:tc>
        <w:tc>
          <w:tcPr>
            <w:tcW w:w="2469" w:type="dxa"/>
            <w:tcBorders>
              <w:bottom w:val="single" w:color="auto" w:sz="8" w:space="0"/>
              <w:right w:val="nil"/>
            </w:tcBorders>
          </w:tcPr>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after="180" w:line="240" w:lineRule="auto"/>
              <w:textAlignment w:val="baseline"/>
              <w:rPr>
                <w:rFonts w:hint="default" w:cs="Times New Roman"/>
                <w:iCs/>
                <w:sz w:val="20"/>
                <w:szCs w:val="20"/>
                <w:vertAlign w:val="baseline"/>
                <w:lang w:val="en-US" w:eastAsia="zh-CN"/>
              </w:rPr>
            </w:pPr>
            <w:r>
              <w:rPr>
                <w:rFonts w:hint="eastAsia" w:cs="Times New Roman"/>
                <w:iCs/>
                <w:sz w:val="20"/>
                <w:szCs w:val="20"/>
                <w:lang w:val="en-US" w:eastAsia="zh-CN"/>
              </w:rPr>
              <w:t>Table 6.2D.2-1</w:t>
            </w:r>
          </w:p>
        </w:tc>
      </w:tr>
    </w:tbl>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b/>
          <w:bCs/>
          <w:i/>
          <w:iCs/>
          <w:sz w:val="20"/>
          <w:szCs w:val="20"/>
          <w:lang w:val="en-US" w:eastAsia="zh-CN"/>
        </w:rPr>
      </w:pPr>
      <w:r>
        <w:rPr>
          <w:rFonts w:hint="eastAsia"/>
          <w:b/>
          <w:bCs/>
          <w:i/>
          <w:iCs/>
          <w:sz w:val="20"/>
          <w:szCs w:val="20"/>
          <w:lang w:val="en-US" w:eastAsia="zh-CN"/>
        </w:rPr>
        <w:t>Proposal 2: For PC2, the single CC MPR requirements can be applied to FR1 intra-band contiguous UL CA with only one UL CC activated. If TxD is indicated for this intra-band contiguous ULCA, single CC with TxD MPR (Table 6.2D.2-1) should apply; if TxD is not indicated for this intra-band contiguous ULCA, single CC without TxD MPR (Table 6.2.2-2) should apply.</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default"/>
          <w:b/>
          <w:bCs/>
          <w:i/>
          <w:iCs/>
          <w:sz w:val="20"/>
          <w:szCs w:val="20"/>
          <w:lang w:val="en-US" w:eastAsia="zh-CN"/>
        </w:rPr>
      </w:pPr>
    </w:p>
    <w:p>
      <w:pPr>
        <w:bidi w:val="0"/>
        <w:rPr>
          <w:rFonts w:hint="eastAsia"/>
          <w:b/>
          <w:bCs/>
          <w:sz w:val="20"/>
          <w:szCs w:val="18"/>
          <w:lang w:val="en-US" w:eastAsia="zh-CN"/>
        </w:rPr>
      </w:pPr>
      <w:r>
        <w:rPr>
          <w:rFonts w:hint="eastAsia"/>
          <w:b/>
          <w:bCs/>
          <w:sz w:val="20"/>
          <w:szCs w:val="18"/>
          <w:lang w:val="en-US" w:eastAsia="zh-CN"/>
        </w:rPr>
        <w:t xml:space="preserve">MPR applicability for FR1 intra-band non-contiguous UL CA </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cs="Times New Roman"/>
          <w:iCs/>
          <w:sz w:val="20"/>
          <w:szCs w:val="20"/>
          <w:lang w:val="en-US" w:eastAsia="zh-CN"/>
        </w:rPr>
      </w:pPr>
      <w:r>
        <w:rPr>
          <w:rFonts w:hint="eastAsia" w:cs="Times New Roman"/>
          <w:iCs/>
          <w:sz w:val="20"/>
          <w:szCs w:val="20"/>
          <w:lang w:val="en-US" w:eastAsia="zh-CN"/>
        </w:rPr>
        <w:t>In current specification, it has been defined that MPR for single CC should apply to FR1 intra-band non-contiguous UL CA with only one UL CC activated. However, there are some cases are</w:t>
      </w:r>
      <w:r>
        <w:rPr>
          <w:rFonts w:hint="eastAsia"/>
          <w:sz w:val="20"/>
          <w:szCs w:val="20"/>
          <w:lang w:val="en-US" w:eastAsia="zh-CN"/>
        </w:rPr>
        <w:t xml:space="preserve"> excluded, e.g. B &lt; 9 MHz where 5.5 dB MPR is used. These exclusions are defined for specific bands. Whether </w:t>
      </w:r>
      <w:r>
        <w:rPr>
          <w:rFonts w:hint="eastAsia" w:cs="Times New Roman"/>
          <w:iCs/>
          <w:sz w:val="20"/>
          <w:szCs w:val="20"/>
          <w:lang w:val="en-US" w:eastAsia="zh-CN"/>
        </w:rPr>
        <w:t>MPR for single CC can be applied to these excluded cases requires input from operators.</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b/>
          <w:bCs/>
          <w:i/>
          <w:iCs/>
          <w:sz w:val="20"/>
          <w:szCs w:val="20"/>
          <w:lang w:val="en-US" w:eastAsia="zh-CN"/>
        </w:rPr>
      </w:pPr>
      <w:r>
        <w:rPr>
          <w:rFonts w:hint="eastAsia"/>
          <w:b/>
          <w:bCs/>
          <w:i/>
          <w:iCs/>
          <w:sz w:val="20"/>
          <w:szCs w:val="20"/>
          <w:lang w:val="en-US" w:eastAsia="zh-CN"/>
        </w:rPr>
        <w:t>Observation 1: In current specification, it has been defined that MPR for single CC should apply to FR1 intra-band non-contiguous UL CA with only one UL CC activated.</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b/>
          <w:bCs/>
          <w:i/>
          <w:iCs/>
          <w:sz w:val="20"/>
          <w:szCs w:val="20"/>
          <w:lang w:val="en-US" w:eastAsia="zh-CN"/>
        </w:rPr>
      </w:pPr>
      <w:r>
        <w:rPr>
          <w:rFonts w:hint="eastAsia"/>
          <w:b/>
          <w:bCs/>
          <w:i/>
          <w:iCs/>
          <w:sz w:val="20"/>
          <w:szCs w:val="20"/>
          <w:lang w:val="en-US" w:eastAsia="zh-CN"/>
        </w:rPr>
        <w:t>Observation 2: There are some cases are excluded, e.g. B &lt; 9 MHz where 5.5 dB MPR is used. These exclusions are defined for specific bands.</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default"/>
          <w:b/>
          <w:bCs/>
          <w:i/>
          <w:iCs/>
          <w:sz w:val="20"/>
          <w:szCs w:val="20"/>
          <w:lang w:val="en-US" w:eastAsia="zh-CN"/>
        </w:rPr>
      </w:pPr>
      <w:r>
        <w:rPr>
          <w:rFonts w:hint="eastAsia"/>
          <w:b/>
          <w:bCs/>
          <w:i/>
          <w:iCs/>
          <w:sz w:val="20"/>
          <w:szCs w:val="20"/>
          <w:lang w:val="en-US" w:eastAsia="zh-CN"/>
        </w:rPr>
        <w:t>Proposal 3: Whether MPR for single CC can be applied to these excluded cases requires input from operators.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sz w:val="20"/>
                <w:szCs w:val="20"/>
                <w:lang w:eastAsia="zh-CN"/>
              </w:rPr>
            </w:pPr>
            <w:r>
              <w:rPr>
                <w:rFonts w:hint="eastAsia"/>
                <w:sz w:val="20"/>
                <w:szCs w:val="20"/>
                <w:lang w:eastAsia="zh-CN"/>
              </w:rPr>
              <w:t>F</w:t>
            </w:r>
            <w:r>
              <w:rPr>
                <w:sz w:val="20"/>
                <w:szCs w:val="20"/>
                <w:lang w:eastAsia="zh-CN"/>
              </w:rPr>
              <w:t>or intra-band non-contiguous CA, the allowed Maximum Power Reduction (MPR) for the maximum output power is specified into 2 types: MPR to meet -30dBm/MHz and -13dBm/MHz. The UE determins the MPR type as follows:</w:t>
            </w:r>
          </w:p>
          <w:p>
            <w:pPr>
              <w:overflowPunct w:val="0"/>
              <w:autoSpaceDE w:val="0"/>
              <w:autoSpaceDN w:val="0"/>
              <w:adjustRightInd w:val="0"/>
              <w:spacing w:after="180"/>
              <w:ind w:firstLine="284"/>
              <w:textAlignment w:val="baseline"/>
              <w:rPr>
                <w:sz w:val="20"/>
                <w:szCs w:val="20"/>
              </w:rPr>
            </w:pPr>
            <w:r>
              <w:rPr>
                <w:rFonts w:eastAsia="Yu Mincho"/>
                <w:sz w:val="20"/>
                <w:szCs w:val="20"/>
                <w:lang w:val="en-US"/>
              </w:rPr>
              <w:t xml:space="preserve">For UE indicating </w:t>
            </w:r>
            <w:r>
              <w:rPr>
                <w:i/>
                <w:sz w:val="20"/>
                <w:szCs w:val="20"/>
              </w:rPr>
              <w:t xml:space="preserve">dualPA-Architecture </w:t>
            </w:r>
            <w:r>
              <w:rPr>
                <w:sz w:val="20"/>
                <w:szCs w:val="20"/>
              </w:rPr>
              <w:t>supported</w:t>
            </w:r>
          </w:p>
          <w:p>
            <w:pPr>
              <w:overflowPunct w:val="0"/>
              <w:autoSpaceDE w:val="0"/>
              <w:autoSpaceDN w:val="0"/>
              <w:adjustRightInd w:val="0"/>
              <w:spacing w:after="0"/>
              <w:ind w:left="568"/>
              <w:textAlignment w:val="baseline"/>
              <w:rPr>
                <w:rFonts w:eastAsia="Yu Mincho"/>
                <w:sz w:val="20"/>
                <w:szCs w:val="20"/>
                <w:highlight w:val="yellow"/>
                <w:lang w:val="en-US"/>
              </w:rPr>
            </w:pPr>
            <w:r>
              <w:rPr>
                <w:rFonts w:eastAsia="Yu Mincho"/>
                <w:sz w:val="20"/>
                <w:szCs w:val="20"/>
                <w:highlight w:val="yellow"/>
                <w:lang w:val="en-US"/>
              </w:rPr>
              <w:t>If OR (</w:t>
            </w:r>
            <w:r>
              <w:rPr>
                <w:sz w:val="20"/>
                <w:szCs w:val="20"/>
                <w:highlight w:val="yellow"/>
              </w:rPr>
              <w:t>L</w:t>
            </w:r>
            <w:r>
              <w:rPr>
                <w:sz w:val="20"/>
                <w:szCs w:val="20"/>
                <w:highlight w:val="yellow"/>
                <w:vertAlign w:val="subscript"/>
              </w:rPr>
              <w:t xml:space="preserve">CRB1 </w:t>
            </w:r>
            <w:r>
              <w:rPr>
                <w:rFonts w:eastAsia="Yu Mincho"/>
                <w:sz w:val="20"/>
                <w:szCs w:val="20"/>
                <w:highlight w:val="yellow"/>
                <w:lang w:val="en-US"/>
              </w:rPr>
              <w:t xml:space="preserve">= 0, </w:t>
            </w:r>
            <w:r>
              <w:rPr>
                <w:sz w:val="20"/>
                <w:szCs w:val="20"/>
                <w:highlight w:val="yellow"/>
              </w:rPr>
              <w:t>L</w:t>
            </w:r>
            <w:r>
              <w:rPr>
                <w:sz w:val="20"/>
                <w:szCs w:val="20"/>
                <w:highlight w:val="yellow"/>
                <w:vertAlign w:val="subscript"/>
              </w:rPr>
              <w:t xml:space="preserve">CRB2 </w:t>
            </w:r>
            <w:r>
              <w:rPr>
                <w:rFonts w:eastAsia="Yu Mincho"/>
                <w:sz w:val="20"/>
                <w:szCs w:val="20"/>
                <w:highlight w:val="yellow"/>
                <w:lang w:val="en-US"/>
              </w:rPr>
              <w:t>= 0)</w:t>
            </w:r>
          </w:p>
          <w:p>
            <w:pPr>
              <w:overflowPunct w:val="0"/>
              <w:autoSpaceDE w:val="0"/>
              <w:autoSpaceDN w:val="0"/>
              <w:adjustRightInd w:val="0"/>
              <w:spacing w:after="0"/>
              <w:textAlignment w:val="baseline"/>
              <w:rPr>
                <w:rFonts w:eastAsia="Yu Mincho"/>
                <w:sz w:val="20"/>
                <w:szCs w:val="20"/>
                <w:highlight w:val="yellow"/>
                <w:lang w:val="en-US"/>
              </w:rPr>
            </w:pPr>
          </w:p>
          <w:p>
            <w:pPr>
              <w:overflowPunct w:val="0"/>
              <w:autoSpaceDE w:val="0"/>
              <w:autoSpaceDN w:val="0"/>
              <w:adjustRightInd w:val="0"/>
              <w:spacing w:after="0"/>
              <w:ind w:left="852" w:firstLine="284"/>
              <w:textAlignment w:val="baseline"/>
              <w:rPr>
                <w:rFonts w:eastAsia="Yu Mincho"/>
                <w:sz w:val="20"/>
                <w:szCs w:val="20"/>
                <w:highlight w:val="yellow"/>
                <w:lang w:val="en-US"/>
              </w:rPr>
            </w:pPr>
            <w:r>
              <w:rPr>
                <w:rFonts w:eastAsia="Yu Mincho"/>
                <w:sz w:val="20"/>
                <w:szCs w:val="20"/>
                <w:highlight w:val="yellow"/>
                <w:lang w:val="en-US"/>
              </w:rPr>
              <w:t>MPR defined in Table 6.2.2-1 and Table 6.2.2-2 for PC3 and PC2 UE respectively</w:t>
            </w:r>
          </w:p>
          <w:p>
            <w:pPr>
              <w:overflowPunct w:val="0"/>
              <w:autoSpaceDE w:val="0"/>
              <w:autoSpaceDN w:val="0"/>
              <w:adjustRightInd w:val="0"/>
              <w:spacing w:after="0"/>
              <w:ind w:left="568"/>
              <w:textAlignment w:val="baseline"/>
              <w:rPr>
                <w:rFonts w:eastAsia="Yu Mincho"/>
                <w:sz w:val="20"/>
                <w:szCs w:val="20"/>
                <w:lang w:val="en-US"/>
              </w:rPr>
            </w:pPr>
          </w:p>
          <w:p>
            <w:pPr>
              <w:overflowPunct w:val="0"/>
              <w:autoSpaceDE w:val="0"/>
              <w:autoSpaceDN w:val="0"/>
              <w:adjustRightInd w:val="0"/>
              <w:spacing w:after="0"/>
              <w:ind w:left="568"/>
              <w:textAlignment w:val="baseline"/>
              <w:rPr>
                <w:rFonts w:eastAsia="Yu Mincho"/>
                <w:sz w:val="20"/>
                <w:szCs w:val="20"/>
                <w:lang w:val="en-US"/>
              </w:rPr>
            </w:pPr>
            <w:r>
              <w:rPr>
                <w:rFonts w:eastAsia="Yu Mincho"/>
                <w:sz w:val="20"/>
                <w:szCs w:val="20"/>
                <w:lang w:val="en-US"/>
              </w:rPr>
              <w:t xml:space="preserve">Else If AND( </w:t>
            </w:r>
            <w:r>
              <w:rPr>
                <w:rFonts w:eastAsia="Yu Mincho"/>
                <w:sz w:val="20"/>
                <w:szCs w:val="20"/>
              </w:rPr>
              <w:t>F</w:t>
            </w:r>
            <w:r>
              <w:rPr>
                <w:rFonts w:eastAsia="Yu Mincho"/>
                <w:sz w:val="20"/>
                <w:szCs w:val="20"/>
                <w:vertAlign w:val="subscript"/>
              </w:rPr>
              <w:t xml:space="preserve">IM3,low_block,low </w:t>
            </w:r>
            <w:r>
              <w:rPr>
                <w:rFonts w:eastAsia="Yu Mincho"/>
                <w:sz w:val="20"/>
                <w:szCs w:val="20"/>
              </w:rPr>
              <w:t>&gt;</w:t>
            </w:r>
            <w:r>
              <w:rPr>
                <w:rFonts w:eastAsia="Yu Mincho"/>
                <w:sz w:val="20"/>
                <w:szCs w:val="20"/>
                <w:lang w:val="en-US"/>
              </w:rPr>
              <w:t xml:space="preserve"> </w:t>
            </w:r>
            <w:r>
              <w:rPr>
                <w:rFonts w:eastAsia="Yu Mincho"/>
                <w:sz w:val="20"/>
                <w:szCs w:val="20"/>
              </w:rPr>
              <w:t>SEM</w:t>
            </w:r>
            <w:r>
              <w:rPr>
                <w:rFonts w:eastAsia="Yu Mincho"/>
                <w:sz w:val="20"/>
                <w:szCs w:val="20"/>
                <w:vertAlign w:val="subscript"/>
              </w:rPr>
              <w:t>-13,low</w:t>
            </w:r>
            <w:r>
              <w:rPr>
                <w:rFonts w:eastAsia="Yu Mincho"/>
                <w:sz w:val="20"/>
                <w:szCs w:val="20"/>
                <w:vertAlign w:val="subscript"/>
                <w:lang w:val="en-US"/>
              </w:rPr>
              <w:t xml:space="preserve"> ,  </w:t>
            </w:r>
            <w:r>
              <w:rPr>
                <w:rFonts w:eastAsia="Yu Mincho"/>
                <w:sz w:val="20"/>
                <w:szCs w:val="20"/>
              </w:rPr>
              <w:t>F</w:t>
            </w:r>
            <w:r>
              <w:rPr>
                <w:rFonts w:eastAsia="Yu Mincho"/>
                <w:sz w:val="20"/>
                <w:szCs w:val="20"/>
                <w:vertAlign w:val="subscript"/>
              </w:rPr>
              <w:t>IM3,high_block,high</w:t>
            </w:r>
            <w:r>
              <w:rPr>
                <w:rFonts w:eastAsia="Yu Mincho"/>
                <w:sz w:val="20"/>
                <w:szCs w:val="20"/>
              </w:rPr>
              <w:t xml:space="preserve"> &lt; SEM</w:t>
            </w:r>
            <w:r>
              <w:rPr>
                <w:rFonts w:eastAsia="Yu Mincho"/>
                <w:sz w:val="20"/>
                <w:szCs w:val="20"/>
                <w:vertAlign w:val="subscript"/>
              </w:rPr>
              <w:t>-13,high</w:t>
            </w:r>
            <w:r>
              <w:rPr>
                <w:rFonts w:eastAsia="Yu Mincho"/>
                <w:sz w:val="20"/>
                <w:szCs w:val="20"/>
              </w:rPr>
              <w:t xml:space="preserve"> </w:t>
            </w:r>
            <w:r>
              <w:rPr>
                <w:rFonts w:eastAsia="Yu Mincho"/>
                <w:sz w:val="20"/>
                <w:szCs w:val="20"/>
                <w:lang w:val="en-US"/>
              </w:rPr>
              <w:t>)</w:t>
            </w:r>
          </w:p>
          <w:p>
            <w:pPr>
              <w:overflowPunct w:val="0"/>
              <w:autoSpaceDE w:val="0"/>
              <w:autoSpaceDN w:val="0"/>
              <w:adjustRightInd w:val="0"/>
              <w:spacing w:after="0"/>
              <w:ind w:left="568"/>
              <w:textAlignment w:val="baseline"/>
              <w:rPr>
                <w:rFonts w:eastAsia="Yu Mincho"/>
                <w:sz w:val="20"/>
                <w:szCs w:val="20"/>
                <w:lang w:val="en-US"/>
              </w:rPr>
            </w:pPr>
          </w:p>
          <w:p>
            <w:pPr>
              <w:overflowPunct w:val="0"/>
              <w:autoSpaceDE w:val="0"/>
              <w:autoSpaceDN w:val="0"/>
              <w:adjustRightInd w:val="0"/>
              <w:spacing w:after="0"/>
              <w:ind w:left="1134" w:hanging="566"/>
              <w:textAlignment w:val="baseline"/>
              <w:rPr>
                <w:rFonts w:eastAsia="Yu Mincho"/>
                <w:sz w:val="20"/>
                <w:szCs w:val="20"/>
                <w:lang w:val="en-US"/>
              </w:rPr>
            </w:pPr>
            <w:r>
              <w:rPr>
                <w:rFonts w:eastAsia="Yu Mincho"/>
                <w:sz w:val="20"/>
                <w:szCs w:val="20"/>
                <w:lang w:val="en-US"/>
              </w:rPr>
              <w:tab/>
            </w:r>
            <w:r>
              <w:rPr>
                <w:rFonts w:eastAsia="Yu Mincho"/>
                <w:sz w:val="20"/>
                <w:szCs w:val="20"/>
                <w:lang w:val="en-US"/>
              </w:rPr>
              <w:tab/>
            </w:r>
            <w:r>
              <w:rPr>
                <w:sz w:val="20"/>
                <w:szCs w:val="20"/>
              </w:rPr>
              <w:t xml:space="preserve">MPR </w:t>
            </w:r>
            <w:r>
              <w:rPr>
                <w:rFonts w:eastAsia="Yu Mincho"/>
                <w:sz w:val="20"/>
                <w:szCs w:val="20"/>
                <w:lang w:val="en-US"/>
              </w:rPr>
              <w:t xml:space="preserve">defined in Clause 6.2A.2.2.2.1 and Clause 6.2A.2.2.2.2 for PC3 and PC2 UE </w:t>
            </w:r>
            <w:r>
              <w:rPr>
                <w:sz w:val="20"/>
                <w:szCs w:val="20"/>
              </w:rPr>
              <w:t>respectively.</w:t>
            </w:r>
          </w:p>
          <w:p>
            <w:pPr>
              <w:overflowPunct w:val="0"/>
              <w:autoSpaceDE w:val="0"/>
              <w:autoSpaceDN w:val="0"/>
              <w:adjustRightInd w:val="0"/>
              <w:spacing w:after="0"/>
              <w:ind w:left="568"/>
              <w:textAlignment w:val="baseline"/>
              <w:rPr>
                <w:rFonts w:eastAsia="Yu Mincho"/>
                <w:sz w:val="20"/>
                <w:szCs w:val="20"/>
                <w:lang w:val="en-US"/>
              </w:rPr>
            </w:pPr>
          </w:p>
          <w:p>
            <w:pPr>
              <w:overflowPunct w:val="0"/>
              <w:autoSpaceDE w:val="0"/>
              <w:autoSpaceDN w:val="0"/>
              <w:adjustRightInd w:val="0"/>
              <w:spacing w:after="180"/>
              <w:ind w:left="568"/>
              <w:textAlignment w:val="baseline"/>
              <w:rPr>
                <w:sz w:val="20"/>
                <w:szCs w:val="20"/>
              </w:rPr>
            </w:pPr>
            <w:r>
              <w:rPr>
                <w:sz w:val="20"/>
                <w:szCs w:val="20"/>
              </w:rPr>
              <w:t>Else</w:t>
            </w:r>
          </w:p>
          <w:p>
            <w:pPr>
              <w:overflowPunct w:val="0"/>
              <w:autoSpaceDE w:val="0"/>
              <w:autoSpaceDN w:val="0"/>
              <w:adjustRightInd w:val="0"/>
              <w:spacing w:after="0"/>
              <w:ind w:left="1134" w:hanging="566"/>
              <w:textAlignment w:val="baseline"/>
              <w:rPr>
                <w:rFonts w:eastAsia="Yu Mincho"/>
                <w:sz w:val="20"/>
                <w:szCs w:val="20"/>
                <w:lang w:val="en-US"/>
              </w:rPr>
            </w:pPr>
            <w:r>
              <w:rPr>
                <w:rFonts w:eastAsia="Yu Mincho"/>
                <w:sz w:val="20"/>
                <w:szCs w:val="20"/>
                <w:lang w:val="en-US"/>
              </w:rPr>
              <w:tab/>
            </w:r>
            <w:r>
              <w:rPr>
                <w:rFonts w:eastAsia="Yu Mincho"/>
                <w:sz w:val="20"/>
                <w:szCs w:val="20"/>
                <w:lang w:val="en-US"/>
              </w:rPr>
              <w:tab/>
            </w:r>
            <w:r>
              <w:rPr>
                <w:rFonts w:eastAsia="Yu Mincho"/>
                <w:sz w:val="20"/>
                <w:szCs w:val="20"/>
                <w:lang w:val="en-US"/>
              </w:rPr>
              <w:t>MPR defined in Clause 6.2A.2.2.1.1 and Clause 6.2A.2.2.1.2 for PC3 and PC2 UE respectively.</w:t>
            </w:r>
          </w:p>
          <w:p>
            <w:pPr>
              <w:overflowPunct w:val="0"/>
              <w:autoSpaceDE w:val="0"/>
              <w:autoSpaceDN w:val="0"/>
              <w:adjustRightInd w:val="0"/>
              <w:spacing w:after="0"/>
              <w:ind w:left="1134" w:hanging="566"/>
              <w:textAlignment w:val="baseline"/>
              <w:rPr>
                <w:rFonts w:eastAsia="Yu Mincho"/>
                <w:sz w:val="20"/>
                <w:szCs w:val="20"/>
                <w:lang w:val="en-US"/>
              </w:rPr>
            </w:pPr>
          </w:p>
          <w:p>
            <w:pPr>
              <w:overflowPunct w:val="0"/>
              <w:autoSpaceDE w:val="0"/>
              <w:autoSpaceDN w:val="0"/>
              <w:adjustRightInd w:val="0"/>
              <w:spacing w:after="0"/>
              <w:textAlignment w:val="baseline"/>
              <w:rPr>
                <w:sz w:val="20"/>
                <w:szCs w:val="20"/>
              </w:rPr>
            </w:pPr>
            <w:r>
              <w:rPr>
                <w:rFonts w:eastAsia="Yu Mincho"/>
                <w:sz w:val="20"/>
                <w:szCs w:val="20"/>
                <w:lang w:val="en-US"/>
              </w:rPr>
              <w:tab/>
            </w:r>
            <w:r>
              <w:rPr>
                <w:rFonts w:eastAsia="Yu Mincho"/>
                <w:sz w:val="20"/>
                <w:szCs w:val="20"/>
                <w:lang w:val="en-US"/>
              </w:rPr>
              <w:t xml:space="preserve">For UE without indicating </w:t>
            </w:r>
            <w:r>
              <w:rPr>
                <w:i/>
                <w:sz w:val="20"/>
                <w:szCs w:val="20"/>
              </w:rPr>
              <w:t xml:space="preserve">dualPA-Architecture </w:t>
            </w:r>
            <w:r>
              <w:rPr>
                <w:sz w:val="20"/>
                <w:szCs w:val="20"/>
              </w:rPr>
              <w:t>supported</w:t>
            </w:r>
          </w:p>
          <w:p>
            <w:pPr>
              <w:overflowPunct w:val="0"/>
              <w:autoSpaceDE w:val="0"/>
              <w:autoSpaceDN w:val="0"/>
              <w:adjustRightInd w:val="0"/>
              <w:spacing w:after="0"/>
              <w:textAlignment w:val="baseline"/>
              <w:rPr>
                <w:rFonts w:eastAsia="Yu Mincho"/>
                <w:sz w:val="20"/>
                <w:szCs w:val="20"/>
                <w:lang w:val="en-US"/>
              </w:rPr>
            </w:pPr>
          </w:p>
          <w:p>
            <w:pPr>
              <w:overflowPunct w:val="0"/>
              <w:autoSpaceDE w:val="0"/>
              <w:autoSpaceDN w:val="0"/>
              <w:adjustRightInd w:val="0"/>
              <w:spacing w:after="0"/>
              <w:ind w:left="568"/>
              <w:textAlignment w:val="baseline"/>
              <w:rPr>
                <w:rFonts w:eastAsia="Yu Mincho"/>
                <w:sz w:val="20"/>
                <w:szCs w:val="20"/>
                <w:highlight w:val="yellow"/>
                <w:lang w:val="en-US"/>
              </w:rPr>
            </w:pPr>
            <w:r>
              <w:rPr>
                <w:rFonts w:eastAsia="Yu Mincho"/>
                <w:sz w:val="20"/>
                <w:szCs w:val="20"/>
                <w:highlight w:val="yellow"/>
                <w:lang w:val="en-US"/>
              </w:rPr>
              <w:t xml:space="preserve">If OR( </w:t>
            </w:r>
            <w:r>
              <w:rPr>
                <w:sz w:val="20"/>
                <w:szCs w:val="20"/>
                <w:highlight w:val="yellow"/>
              </w:rPr>
              <w:t>L</w:t>
            </w:r>
            <w:r>
              <w:rPr>
                <w:sz w:val="20"/>
                <w:szCs w:val="20"/>
                <w:highlight w:val="yellow"/>
                <w:vertAlign w:val="subscript"/>
              </w:rPr>
              <w:t xml:space="preserve">CRB1 </w:t>
            </w:r>
            <w:r>
              <w:rPr>
                <w:rFonts w:eastAsia="Yu Mincho"/>
                <w:sz w:val="20"/>
                <w:szCs w:val="20"/>
                <w:highlight w:val="yellow"/>
                <w:lang w:val="en-US"/>
              </w:rPr>
              <w:t xml:space="preserve">= 0, </w:t>
            </w:r>
            <w:r>
              <w:rPr>
                <w:sz w:val="20"/>
                <w:szCs w:val="20"/>
                <w:highlight w:val="yellow"/>
              </w:rPr>
              <w:t>L</w:t>
            </w:r>
            <w:r>
              <w:rPr>
                <w:sz w:val="20"/>
                <w:szCs w:val="20"/>
                <w:highlight w:val="yellow"/>
                <w:vertAlign w:val="subscript"/>
              </w:rPr>
              <w:t xml:space="preserve">CRB2 </w:t>
            </w:r>
            <w:r>
              <w:rPr>
                <w:rFonts w:eastAsia="Yu Mincho"/>
                <w:sz w:val="20"/>
                <w:szCs w:val="20"/>
                <w:highlight w:val="yellow"/>
                <w:lang w:val="en-US"/>
              </w:rPr>
              <w:t>= 0</w:t>
            </w:r>
            <w:r>
              <w:rPr>
                <w:rFonts w:eastAsia="Yu Mincho"/>
                <w:sz w:val="20"/>
                <w:szCs w:val="20"/>
                <w:highlight w:val="yellow"/>
              </w:rPr>
              <w:t xml:space="preserve"> </w:t>
            </w:r>
            <w:r>
              <w:rPr>
                <w:rFonts w:eastAsia="Yu Mincho"/>
                <w:sz w:val="20"/>
                <w:szCs w:val="20"/>
                <w:highlight w:val="yellow"/>
                <w:lang w:val="en-US"/>
              </w:rPr>
              <w:t>)</w:t>
            </w:r>
          </w:p>
          <w:p>
            <w:pPr>
              <w:overflowPunct w:val="0"/>
              <w:autoSpaceDE w:val="0"/>
              <w:autoSpaceDN w:val="0"/>
              <w:adjustRightInd w:val="0"/>
              <w:spacing w:after="0"/>
              <w:ind w:left="568"/>
              <w:textAlignment w:val="baseline"/>
              <w:rPr>
                <w:rFonts w:eastAsia="Yu Mincho"/>
                <w:sz w:val="20"/>
                <w:szCs w:val="20"/>
                <w:highlight w:val="yellow"/>
                <w:lang w:val="en-US"/>
              </w:rPr>
            </w:pPr>
          </w:p>
          <w:p>
            <w:pPr>
              <w:overflowPunct w:val="0"/>
              <w:autoSpaceDE w:val="0"/>
              <w:autoSpaceDN w:val="0"/>
              <w:adjustRightInd w:val="0"/>
              <w:spacing w:after="0"/>
              <w:ind w:left="852" w:firstLine="284"/>
              <w:textAlignment w:val="baseline"/>
              <w:rPr>
                <w:sz w:val="20"/>
                <w:szCs w:val="20"/>
              </w:rPr>
            </w:pPr>
            <w:r>
              <w:rPr>
                <w:rFonts w:eastAsia="Yu Mincho"/>
                <w:sz w:val="20"/>
                <w:szCs w:val="20"/>
                <w:highlight w:val="yellow"/>
                <w:lang w:val="en-US"/>
              </w:rPr>
              <w:t>For PC3 UE, MPR defined in Table 6.2.2-1</w:t>
            </w:r>
            <w:r>
              <w:rPr>
                <w:rFonts w:eastAsia="Yu Mincho"/>
                <w:sz w:val="20"/>
                <w:szCs w:val="20"/>
                <w:lang w:val="en-US"/>
              </w:rPr>
              <w:t xml:space="preserve">, </w:t>
            </w:r>
            <w:r>
              <w:rPr>
                <w:rFonts w:eastAsia="Yu Mincho"/>
                <w:sz w:val="20"/>
                <w:szCs w:val="20"/>
                <w:highlight w:val="cyan"/>
                <w:lang w:val="en-US"/>
              </w:rPr>
              <w:t xml:space="preserve">except </w:t>
            </w:r>
            <w:r>
              <w:rPr>
                <w:sz w:val="20"/>
                <w:szCs w:val="20"/>
                <w:highlight w:val="cyan"/>
              </w:rPr>
              <w:t xml:space="preserve">for B &lt; </w:t>
            </w:r>
            <w:r>
              <w:rPr>
                <w:bCs/>
                <w:sz w:val="20"/>
                <w:szCs w:val="20"/>
                <w:highlight w:val="cyan"/>
              </w:rPr>
              <w:t>9</w:t>
            </w:r>
            <w:r>
              <w:rPr>
                <w:sz w:val="20"/>
                <w:szCs w:val="20"/>
                <w:highlight w:val="cyan"/>
              </w:rPr>
              <w:t xml:space="preserve"> MHz where </w:t>
            </w:r>
            <w:r>
              <w:rPr>
                <w:bCs/>
                <w:sz w:val="20"/>
                <w:szCs w:val="20"/>
                <w:highlight w:val="cyan"/>
              </w:rPr>
              <w:t>5.5</w:t>
            </w:r>
            <w:r>
              <w:rPr>
                <w:sz w:val="20"/>
                <w:szCs w:val="20"/>
                <w:highlight w:val="cyan"/>
              </w:rPr>
              <w:t xml:space="preserve"> dB MPR is used;</w:t>
            </w:r>
          </w:p>
          <w:p>
            <w:pPr>
              <w:overflowPunct w:val="0"/>
              <w:autoSpaceDE w:val="0"/>
              <w:autoSpaceDN w:val="0"/>
              <w:adjustRightInd w:val="0"/>
              <w:spacing w:after="0"/>
              <w:ind w:left="852" w:firstLine="284"/>
              <w:textAlignment w:val="baseline"/>
              <w:rPr>
                <w:sz w:val="20"/>
                <w:szCs w:val="20"/>
              </w:rPr>
            </w:pPr>
            <w:r>
              <w:rPr>
                <w:rFonts w:hint="eastAsia"/>
                <w:sz w:val="20"/>
                <w:szCs w:val="20"/>
                <w:highlight w:val="yellow"/>
              </w:rPr>
              <w:t xml:space="preserve">For PC2 UE without indicating </w:t>
            </w:r>
            <w:r>
              <w:rPr>
                <w:rFonts w:hint="eastAsia"/>
                <w:i/>
                <w:iCs/>
                <w:sz w:val="20"/>
                <w:szCs w:val="20"/>
                <w:highlight w:val="yellow"/>
              </w:rPr>
              <w:t>TxD</w:t>
            </w:r>
            <w:r>
              <w:rPr>
                <w:rFonts w:hint="eastAsia"/>
                <w:sz w:val="20"/>
                <w:szCs w:val="20"/>
                <w:highlight w:val="yellow"/>
              </w:rPr>
              <w:t>, MPR defined in Table 6.2.2-2 is used</w:t>
            </w:r>
            <w:r>
              <w:rPr>
                <w:rFonts w:hint="eastAsia"/>
                <w:sz w:val="20"/>
                <w:szCs w:val="20"/>
              </w:rPr>
              <w:t xml:space="preserve">, </w:t>
            </w:r>
            <w:r>
              <w:rPr>
                <w:rFonts w:hint="eastAsia"/>
                <w:sz w:val="20"/>
                <w:szCs w:val="20"/>
                <w:highlight w:val="cyan"/>
              </w:rPr>
              <w:t xml:space="preserve">except for B &lt; </w:t>
            </w:r>
            <w:r>
              <w:rPr>
                <w:rFonts w:hint="eastAsia"/>
                <w:bCs/>
                <w:sz w:val="20"/>
                <w:szCs w:val="20"/>
                <w:highlight w:val="cyan"/>
              </w:rPr>
              <w:t>11.52</w:t>
            </w:r>
            <w:r>
              <w:rPr>
                <w:rFonts w:hint="eastAsia"/>
                <w:sz w:val="20"/>
                <w:szCs w:val="20"/>
                <w:highlight w:val="cyan"/>
              </w:rPr>
              <w:t xml:space="preserve"> MHz where </w:t>
            </w:r>
            <w:r>
              <w:rPr>
                <w:rFonts w:hint="eastAsia"/>
                <w:bCs/>
                <w:sz w:val="20"/>
                <w:szCs w:val="20"/>
                <w:highlight w:val="cyan"/>
              </w:rPr>
              <w:t>6.5</w:t>
            </w:r>
            <w:r>
              <w:rPr>
                <w:rFonts w:hint="eastAsia"/>
                <w:sz w:val="20"/>
                <w:szCs w:val="20"/>
                <w:highlight w:val="cyan"/>
              </w:rPr>
              <w:t xml:space="preserve"> dB </w:t>
            </w:r>
            <w:r>
              <w:rPr>
                <w:sz w:val="20"/>
                <w:szCs w:val="20"/>
                <w:highlight w:val="cyan"/>
              </w:rPr>
              <w:t xml:space="preserve">MPR </w:t>
            </w:r>
            <w:r>
              <w:rPr>
                <w:rFonts w:hint="eastAsia"/>
                <w:sz w:val="20"/>
                <w:szCs w:val="20"/>
                <w:highlight w:val="cyan"/>
              </w:rPr>
              <w:t>is used;</w:t>
            </w:r>
          </w:p>
          <w:p>
            <w:pPr>
              <w:overflowPunct w:val="0"/>
              <w:autoSpaceDE w:val="0"/>
              <w:autoSpaceDN w:val="0"/>
              <w:adjustRightInd w:val="0"/>
              <w:spacing w:after="180"/>
              <w:ind w:left="852" w:firstLine="284"/>
              <w:textAlignment w:val="baseline"/>
              <w:rPr>
                <w:rFonts w:eastAsia="Yu Mincho"/>
                <w:sz w:val="20"/>
                <w:szCs w:val="20"/>
              </w:rPr>
            </w:pPr>
            <w:r>
              <w:rPr>
                <w:rFonts w:hint="eastAsia"/>
                <w:sz w:val="20"/>
                <w:szCs w:val="20"/>
                <w:highlight w:val="yellow"/>
              </w:rPr>
              <w:t xml:space="preserve">For PC2 UE indicating </w:t>
            </w:r>
            <w:r>
              <w:rPr>
                <w:rFonts w:hint="eastAsia"/>
                <w:i/>
                <w:iCs/>
                <w:sz w:val="20"/>
                <w:szCs w:val="20"/>
                <w:highlight w:val="yellow"/>
              </w:rPr>
              <w:t>TxD</w:t>
            </w:r>
            <w:r>
              <w:rPr>
                <w:rFonts w:hint="eastAsia"/>
                <w:sz w:val="20"/>
                <w:szCs w:val="20"/>
                <w:highlight w:val="yellow"/>
              </w:rPr>
              <w:t>, MPR defined in Table 6.2D.2-1</w:t>
            </w:r>
            <w:r>
              <w:rPr>
                <w:sz w:val="20"/>
                <w:szCs w:val="20"/>
                <w:highlight w:val="yellow"/>
              </w:rPr>
              <w:t xml:space="preserve"> </w:t>
            </w:r>
            <w:r>
              <w:rPr>
                <w:rFonts w:hint="eastAsia"/>
                <w:sz w:val="20"/>
                <w:szCs w:val="20"/>
                <w:highlight w:val="yellow"/>
              </w:rPr>
              <w:t>is used</w:t>
            </w:r>
            <w:r>
              <w:rPr>
                <w:rFonts w:hint="eastAsia"/>
                <w:sz w:val="20"/>
                <w:szCs w:val="20"/>
              </w:rPr>
              <w:t xml:space="preserve">, </w:t>
            </w:r>
            <w:r>
              <w:rPr>
                <w:rFonts w:hint="eastAsia"/>
                <w:sz w:val="20"/>
                <w:szCs w:val="20"/>
                <w:highlight w:val="cyan"/>
              </w:rPr>
              <w:t xml:space="preserve">except for B &lt; </w:t>
            </w:r>
            <w:r>
              <w:rPr>
                <w:rFonts w:hint="eastAsia"/>
                <w:bCs/>
                <w:sz w:val="20"/>
                <w:szCs w:val="20"/>
                <w:highlight w:val="cyan"/>
              </w:rPr>
              <w:t>11.52</w:t>
            </w:r>
            <w:r>
              <w:rPr>
                <w:rFonts w:hint="eastAsia"/>
                <w:sz w:val="20"/>
                <w:szCs w:val="20"/>
                <w:highlight w:val="cyan"/>
              </w:rPr>
              <w:t xml:space="preserve"> MHz where the maximum value between </w:t>
            </w:r>
            <w:r>
              <w:rPr>
                <w:rFonts w:hint="eastAsia"/>
                <w:bCs/>
                <w:sz w:val="20"/>
                <w:szCs w:val="20"/>
                <w:highlight w:val="cyan"/>
              </w:rPr>
              <w:t>6.5</w:t>
            </w:r>
            <w:r>
              <w:rPr>
                <w:rFonts w:hint="eastAsia"/>
                <w:sz w:val="20"/>
                <w:szCs w:val="20"/>
                <w:highlight w:val="cyan"/>
              </w:rPr>
              <w:t xml:space="preserve"> dB and MPR defined in Table 6.2D.2-1</w:t>
            </w:r>
            <w:r>
              <w:rPr>
                <w:sz w:val="20"/>
                <w:szCs w:val="20"/>
                <w:highlight w:val="cyan"/>
              </w:rPr>
              <w:t xml:space="preserve"> </w:t>
            </w:r>
            <w:r>
              <w:rPr>
                <w:rFonts w:hint="eastAsia"/>
                <w:sz w:val="20"/>
                <w:szCs w:val="20"/>
                <w:highlight w:val="cyan"/>
              </w:rPr>
              <w:t>is used.</w:t>
            </w:r>
          </w:p>
          <w:p>
            <w:pPr>
              <w:overflowPunct w:val="0"/>
              <w:autoSpaceDE w:val="0"/>
              <w:autoSpaceDN w:val="0"/>
              <w:adjustRightInd w:val="0"/>
              <w:spacing w:after="0"/>
              <w:ind w:left="568"/>
              <w:textAlignment w:val="baseline"/>
              <w:rPr>
                <w:rFonts w:eastAsia="Yu Mincho"/>
                <w:sz w:val="20"/>
                <w:szCs w:val="20"/>
                <w:lang w:val="en-US"/>
              </w:rPr>
            </w:pPr>
            <w:r>
              <w:rPr>
                <w:rFonts w:eastAsia="Yu Mincho"/>
                <w:sz w:val="20"/>
                <w:szCs w:val="20"/>
                <w:lang w:val="en-US"/>
              </w:rPr>
              <w:t xml:space="preserve">Else If AND( </w:t>
            </w:r>
            <w:r>
              <w:rPr>
                <w:rFonts w:eastAsia="Yu Mincho"/>
                <w:sz w:val="20"/>
                <w:szCs w:val="20"/>
              </w:rPr>
              <w:t>F</w:t>
            </w:r>
            <w:r>
              <w:rPr>
                <w:rFonts w:eastAsia="Yu Mincho"/>
                <w:sz w:val="20"/>
                <w:szCs w:val="20"/>
                <w:vertAlign w:val="subscript"/>
              </w:rPr>
              <w:t xml:space="preserve">IM3,low_block,low </w:t>
            </w:r>
            <w:r>
              <w:rPr>
                <w:rFonts w:eastAsia="Yu Mincho"/>
                <w:sz w:val="20"/>
                <w:szCs w:val="20"/>
              </w:rPr>
              <w:t>&gt;</w:t>
            </w:r>
            <w:r>
              <w:rPr>
                <w:rFonts w:eastAsia="Yu Mincho"/>
                <w:sz w:val="20"/>
                <w:szCs w:val="20"/>
                <w:lang w:val="en-US"/>
              </w:rPr>
              <w:t xml:space="preserve"> </w:t>
            </w:r>
            <w:r>
              <w:rPr>
                <w:rFonts w:eastAsia="Yu Mincho"/>
                <w:sz w:val="20"/>
                <w:szCs w:val="20"/>
              </w:rPr>
              <w:t>SEM</w:t>
            </w:r>
            <w:r>
              <w:rPr>
                <w:rFonts w:eastAsia="Yu Mincho"/>
                <w:sz w:val="20"/>
                <w:szCs w:val="20"/>
                <w:vertAlign w:val="subscript"/>
              </w:rPr>
              <w:t>-13,low</w:t>
            </w:r>
            <w:r>
              <w:rPr>
                <w:rFonts w:eastAsia="Yu Mincho"/>
                <w:sz w:val="20"/>
                <w:szCs w:val="20"/>
                <w:vertAlign w:val="subscript"/>
                <w:lang w:val="en-US"/>
              </w:rPr>
              <w:t xml:space="preserve"> ,  </w:t>
            </w:r>
            <w:r>
              <w:rPr>
                <w:rFonts w:eastAsia="Yu Mincho"/>
                <w:sz w:val="20"/>
                <w:szCs w:val="20"/>
              </w:rPr>
              <w:t>F</w:t>
            </w:r>
            <w:r>
              <w:rPr>
                <w:rFonts w:eastAsia="Yu Mincho"/>
                <w:sz w:val="20"/>
                <w:szCs w:val="20"/>
                <w:vertAlign w:val="subscript"/>
              </w:rPr>
              <w:t>IM3,high_block,high</w:t>
            </w:r>
            <w:r>
              <w:rPr>
                <w:rFonts w:eastAsia="Yu Mincho"/>
                <w:sz w:val="20"/>
                <w:szCs w:val="20"/>
              </w:rPr>
              <w:t xml:space="preserve"> &lt; SEM</w:t>
            </w:r>
            <w:r>
              <w:rPr>
                <w:rFonts w:eastAsia="Yu Mincho"/>
                <w:sz w:val="20"/>
                <w:szCs w:val="20"/>
                <w:vertAlign w:val="subscript"/>
              </w:rPr>
              <w:t>-13,high</w:t>
            </w:r>
            <w:r>
              <w:rPr>
                <w:rFonts w:eastAsia="Yu Mincho"/>
                <w:sz w:val="20"/>
                <w:szCs w:val="20"/>
              </w:rPr>
              <w:t xml:space="preserve"> </w:t>
            </w:r>
            <w:r>
              <w:rPr>
                <w:rFonts w:eastAsia="Yu Mincho"/>
                <w:sz w:val="20"/>
                <w:szCs w:val="20"/>
                <w:lang w:val="en-US"/>
              </w:rPr>
              <w:t>)</w:t>
            </w:r>
          </w:p>
          <w:p>
            <w:pPr>
              <w:overflowPunct w:val="0"/>
              <w:autoSpaceDE w:val="0"/>
              <w:autoSpaceDN w:val="0"/>
              <w:adjustRightInd w:val="0"/>
              <w:spacing w:after="0"/>
              <w:ind w:left="568"/>
              <w:textAlignment w:val="baseline"/>
              <w:rPr>
                <w:rFonts w:eastAsia="Yu Mincho"/>
                <w:sz w:val="20"/>
                <w:szCs w:val="20"/>
                <w:lang w:val="en-US"/>
              </w:rPr>
            </w:pPr>
          </w:p>
          <w:p>
            <w:pPr>
              <w:overflowPunct w:val="0"/>
              <w:autoSpaceDE w:val="0"/>
              <w:autoSpaceDN w:val="0"/>
              <w:adjustRightInd w:val="0"/>
              <w:spacing w:after="0"/>
              <w:ind w:left="1134" w:hanging="566"/>
              <w:textAlignment w:val="baseline"/>
              <w:rPr>
                <w:rFonts w:eastAsia="Yu Mincho"/>
                <w:sz w:val="20"/>
                <w:szCs w:val="20"/>
                <w:lang w:val="en-US"/>
              </w:rPr>
            </w:pPr>
            <w:r>
              <w:rPr>
                <w:rFonts w:eastAsia="Yu Mincho"/>
                <w:sz w:val="20"/>
                <w:szCs w:val="20"/>
                <w:lang w:val="en-US"/>
              </w:rPr>
              <w:tab/>
            </w:r>
            <w:r>
              <w:rPr>
                <w:rFonts w:eastAsia="Yu Mincho"/>
                <w:sz w:val="20"/>
                <w:szCs w:val="20"/>
                <w:lang w:val="en-US"/>
              </w:rPr>
              <w:tab/>
            </w:r>
            <w:r>
              <w:rPr>
                <w:sz w:val="20"/>
                <w:szCs w:val="20"/>
              </w:rPr>
              <w:t xml:space="preserve">MPR </w:t>
            </w:r>
            <w:r>
              <w:rPr>
                <w:rFonts w:eastAsia="Yu Mincho"/>
                <w:sz w:val="20"/>
                <w:szCs w:val="20"/>
                <w:lang w:val="en-US"/>
              </w:rPr>
              <w:t xml:space="preserve">defined in Clause 6.2A.2.2.2.3 and Clause 6.2A.2.2.2.4 for PC3 and PC2 UE </w:t>
            </w:r>
            <w:r>
              <w:rPr>
                <w:sz w:val="20"/>
                <w:szCs w:val="20"/>
              </w:rPr>
              <w:t>respectively.</w:t>
            </w:r>
          </w:p>
          <w:p>
            <w:pPr>
              <w:overflowPunct w:val="0"/>
              <w:autoSpaceDE w:val="0"/>
              <w:autoSpaceDN w:val="0"/>
              <w:adjustRightInd w:val="0"/>
              <w:spacing w:after="0"/>
              <w:ind w:left="568"/>
              <w:textAlignment w:val="baseline"/>
              <w:rPr>
                <w:rFonts w:eastAsia="Yu Mincho"/>
                <w:sz w:val="20"/>
                <w:szCs w:val="20"/>
                <w:lang w:val="en-US"/>
              </w:rPr>
            </w:pPr>
          </w:p>
          <w:p>
            <w:pPr>
              <w:overflowPunct w:val="0"/>
              <w:autoSpaceDE w:val="0"/>
              <w:autoSpaceDN w:val="0"/>
              <w:adjustRightInd w:val="0"/>
              <w:spacing w:after="180"/>
              <w:ind w:left="568"/>
              <w:textAlignment w:val="baseline"/>
              <w:rPr>
                <w:sz w:val="20"/>
                <w:szCs w:val="20"/>
              </w:rPr>
            </w:pPr>
            <w:r>
              <w:rPr>
                <w:sz w:val="20"/>
                <w:szCs w:val="20"/>
              </w:rPr>
              <w:t>Else</w:t>
            </w:r>
          </w:p>
          <w:p>
            <w:pPr>
              <w:overflowPunct w:val="0"/>
              <w:autoSpaceDE w:val="0"/>
              <w:autoSpaceDN w:val="0"/>
              <w:adjustRightInd w:val="0"/>
              <w:spacing w:after="0"/>
              <w:ind w:left="1134" w:hanging="566"/>
              <w:textAlignment w:val="baseline"/>
              <w:rPr>
                <w:rFonts w:hint="default" w:cs="Times New Roman"/>
                <w:iCs/>
                <w:sz w:val="20"/>
                <w:szCs w:val="20"/>
                <w:vertAlign w:val="baseline"/>
                <w:lang w:val="en-US" w:eastAsia="zh-CN"/>
              </w:rPr>
            </w:pPr>
            <w:r>
              <w:rPr>
                <w:rFonts w:eastAsia="Yu Mincho"/>
                <w:sz w:val="20"/>
                <w:szCs w:val="20"/>
                <w:lang w:val="en-US"/>
              </w:rPr>
              <w:tab/>
            </w:r>
            <w:r>
              <w:rPr>
                <w:rFonts w:eastAsia="Yu Mincho"/>
                <w:sz w:val="20"/>
                <w:szCs w:val="20"/>
                <w:lang w:val="en-US"/>
              </w:rPr>
              <w:tab/>
            </w:r>
            <w:r>
              <w:rPr>
                <w:rFonts w:eastAsia="Yu Mincho"/>
                <w:sz w:val="20"/>
                <w:szCs w:val="20"/>
                <w:lang w:val="en-US"/>
              </w:rPr>
              <w:t>MPR defined in Clause 6.2A.2.2.1.3 and Clause 6.2A.2.2.1.4 for PC3 and PC2 UE respectively.</w:t>
            </w:r>
          </w:p>
        </w:tc>
      </w:tr>
    </w:tbl>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default" w:cs="Times New Roman"/>
          <w:iCs/>
          <w:sz w:val="20"/>
          <w:szCs w:val="20"/>
          <w:lang w:val="en-US" w:eastAsia="zh-CN"/>
        </w:rPr>
      </w:pP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default" w:cs="Times New Roman"/>
          <w:iCs/>
          <w:sz w:val="20"/>
          <w:szCs w:val="20"/>
          <w:lang w:val="en-US" w:eastAsia="zh-CN"/>
        </w:rPr>
      </w:pPr>
    </w:p>
    <w:bookmarkEnd w:id="11"/>
    <w:bookmarkEnd w:id="12"/>
    <w:bookmarkEnd w:id="13"/>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w:t>
      </w:r>
      <w:r>
        <w:rPr>
          <w:rFonts w:hint="eastAsia" w:cs="Times New Roman"/>
          <w:b w:val="0"/>
          <w:bCs w:val="0"/>
          <w:kern w:val="0"/>
          <w:sz w:val="20"/>
          <w:szCs w:val="20"/>
          <w:highlight w:val="none"/>
          <w:lang w:val="en-US" w:eastAsia="zh-CN" w:bidi="ar-SA"/>
        </w:rPr>
        <w:t xml:space="preserve">on MPR applicability for FR1 intra-band UL CA </w:t>
      </w:r>
      <w:r>
        <w:rPr>
          <w:rFonts w:hint="eastAsia" w:ascii="Times New Roman" w:hAnsi="Times New Roman" w:eastAsia="宋体" w:cs="Times New Roman"/>
          <w:b w:val="0"/>
          <w:bCs w:val="0"/>
          <w:kern w:val="0"/>
          <w:sz w:val="20"/>
          <w:szCs w:val="20"/>
          <w:highlight w:val="none"/>
          <w:lang w:val="en-US" w:eastAsia="zh-CN" w:bidi="ar-SA"/>
        </w:rPr>
        <w:t>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default" w:cs="Times New Roman"/>
          <w:iCs/>
          <w:sz w:val="20"/>
          <w:szCs w:val="20"/>
          <w:lang w:val="en-US" w:eastAsia="zh-CN"/>
        </w:rPr>
      </w:pPr>
      <w:r>
        <w:rPr>
          <w:rFonts w:hint="eastAsia"/>
          <w:b/>
          <w:bCs/>
          <w:i/>
          <w:iCs/>
          <w:sz w:val="20"/>
          <w:szCs w:val="20"/>
          <w:lang w:val="en-US" w:eastAsia="zh-CN"/>
        </w:rPr>
        <w:t>Proposal 1: For PC3, the single CC MPR requirements (Table 6.2.2-1) can be applied to FR1 intra-band contiguous UL CA with only one UL CC activated.</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b/>
          <w:bCs/>
          <w:i/>
          <w:iCs/>
          <w:sz w:val="20"/>
          <w:szCs w:val="20"/>
          <w:lang w:val="en-US" w:eastAsia="zh-CN"/>
        </w:rPr>
      </w:pPr>
      <w:r>
        <w:rPr>
          <w:rFonts w:hint="eastAsia"/>
          <w:b/>
          <w:bCs/>
          <w:i/>
          <w:iCs/>
          <w:sz w:val="20"/>
          <w:szCs w:val="20"/>
          <w:lang w:val="en-US" w:eastAsia="zh-CN"/>
        </w:rPr>
        <w:t>Proposal 2: For PC2, the single CC MPR requirements can be applied to FR1 intra-band contiguous UL CA with only one UL CC activated. If TxD is indicated for this intra-band contiguous ULCA, single CC with TxD MPR (Table 6.2D.2-1) should apply; if TxD is not indicated for this intra-band contiguous ULCA, single CC without TxD MPR (Table 6.2.2-2) should apply.</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b/>
          <w:bCs/>
          <w:i/>
          <w:iCs/>
          <w:sz w:val="20"/>
          <w:szCs w:val="20"/>
          <w:lang w:val="en-US" w:eastAsia="zh-CN"/>
        </w:rPr>
      </w:pPr>
      <w:r>
        <w:rPr>
          <w:rFonts w:hint="eastAsia"/>
          <w:b/>
          <w:bCs/>
          <w:i/>
          <w:iCs/>
          <w:sz w:val="20"/>
          <w:szCs w:val="20"/>
          <w:lang w:val="en-US" w:eastAsia="zh-CN"/>
        </w:rPr>
        <w:t>Observation 1: In current specification, it has been defined that MPR for single CC should apply to FR1 intra-band non-contiguous UL CA with only one UL CC activated.</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b/>
          <w:bCs/>
          <w:i/>
          <w:iCs/>
          <w:sz w:val="20"/>
          <w:szCs w:val="20"/>
          <w:lang w:val="en-US" w:eastAsia="zh-CN"/>
        </w:rPr>
      </w:pPr>
      <w:r>
        <w:rPr>
          <w:rFonts w:hint="eastAsia"/>
          <w:b/>
          <w:bCs/>
          <w:i/>
          <w:iCs/>
          <w:sz w:val="20"/>
          <w:szCs w:val="20"/>
          <w:lang w:val="en-US" w:eastAsia="zh-CN"/>
        </w:rPr>
        <w:t>Observation 2: There are some cases are excluded, e.g. B &lt; 9 MHz where 5.5 dB MPR is used. These exclusions are defined for specific bands.</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default"/>
          <w:b/>
          <w:bCs/>
          <w:i/>
          <w:iCs/>
          <w:sz w:val="20"/>
          <w:szCs w:val="20"/>
          <w:lang w:val="en-US" w:eastAsia="zh-CN"/>
        </w:rPr>
      </w:pPr>
      <w:r>
        <w:rPr>
          <w:rFonts w:hint="eastAsia"/>
          <w:b/>
          <w:bCs/>
          <w:i/>
          <w:iCs/>
          <w:sz w:val="20"/>
          <w:szCs w:val="20"/>
          <w:lang w:val="en-US" w:eastAsia="zh-CN"/>
        </w:rPr>
        <w:t>Proposal 3: Whether MPR for single CC can be applied to these excluded cases requires input from operators.</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eastAsia"/>
          <w:sz w:val="20"/>
          <w:szCs w:val="20"/>
          <w:lang w:val="en-US" w:eastAsia="zh-CN"/>
        </w:rPr>
        <w:t>RP-230828, New WID: UE RF enhancements for NR FR1/FR2 and EN-DC, Phase 4, Huawei</w:t>
      </w:r>
    </w:p>
    <w:p>
      <w:pPr>
        <w:keepNext/>
        <w:keepLines/>
        <w:pageBreakBefore w:val="0"/>
        <w:widowControl/>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default"/>
          <w:color w:val="auto"/>
          <w:sz w:val="20"/>
          <w:szCs w:val="20"/>
          <w:lang w:val="en-US" w:eastAsia="zh-CN"/>
        </w:rPr>
        <w:t>R4-2406584</w:t>
      </w:r>
      <w:r>
        <w:rPr>
          <w:rFonts w:hint="eastAsia"/>
          <w:color w:val="auto"/>
          <w:sz w:val="20"/>
          <w:szCs w:val="20"/>
          <w:lang w:val="en-US" w:eastAsia="zh-CN"/>
        </w:rPr>
        <w:t xml:space="preserve">, </w:t>
      </w:r>
      <w:r>
        <w:rPr>
          <w:rFonts w:hint="default"/>
          <w:color w:val="auto"/>
          <w:sz w:val="20"/>
          <w:szCs w:val="20"/>
          <w:lang w:val="en-US" w:eastAsia="zh-CN"/>
        </w:rPr>
        <w:t>WF on power domain enhancement</w:t>
      </w:r>
      <w:r>
        <w:rPr>
          <w:rFonts w:hint="eastAsia"/>
          <w:sz w:val="20"/>
          <w:szCs w:val="20"/>
          <w:lang w:val="en-US" w:eastAsia="zh-CN"/>
        </w:rPr>
        <w:t>, Huawei</w:t>
      </w: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B6568FB"/>
    <w:multiLevelType w:val="multilevel"/>
    <w:tmpl w:val="5B6568FB"/>
    <w:lvl w:ilvl="0" w:tentative="0">
      <w:start w:val="2"/>
      <w:numFmt w:val="bullet"/>
      <w:lvlText w:val="-"/>
      <w:lvlJc w:val="left"/>
      <w:pPr>
        <w:ind w:left="560" w:hanging="360"/>
      </w:pPr>
      <w:rPr>
        <w:rFonts w:hint="default" w:ascii="Times New Roman" w:hAnsi="Times New Roman" w:eastAsia="宋体" w:cs="Times New Roman"/>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5F723A5E"/>
    <w:multiLevelType w:val="singleLevel"/>
    <w:tmpl w:val="5F723A5E"/>
    <w:lvl w:ilvl="0" w:tentative="0">
      <w:start w:val="1"/>
      <w:numFmt w:val="decimal"/>
      <w:suff w:val="space"/>
      <w:lvlText w:val="[%1]"/>
      <w:lvlJc w:val="left"/>
    </w:lvl>
  </w:abstractNum>
  <w:abstractNum w:abstractNumId="9">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9"/>
  </w:num>
  <w:num w:numId="3">
    <w:abstractNumId w:val="7"/>
  </w:num>
  <w:num w:numId="4">
    <w:abstractNumId w:val="4"/>
  </w:num>
  <w:num w:numId="5">
    <w:abstractNumId w:val="5"/>
  </w:num>
  <w:num w:numId="6">
    <w:abstractNumId w:val="1"/>
  </w:num>
  <w:num w:numId="7">
    <w:abstractNumId w:val="0"/>
  </w:num>
  <w:num w:numId="8">
    <w:abstractNumId w:val="2"/>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2D21AE"/>
    <w:rsid w:val="014A0623"/>
    <w:rsid w:val="01536583"/>
    <w:rsid w:val="0156475D"/>
    <w:rsid w:val="015D3EF3"/>
    <w:rsid w:val="016112D3"/>
    <w:rsid w:val="0165788D"/>
    <w:rsid w:val="01764F01"/>
    <w:rsid w:val="018107C9"/>
    <w:rsid w:val="01854FE9"/>
    <w:rsid w:val="018E207B"/>
    <w:rsid w:val="0190283E"/>
    <w:rsid w:val="019C544F"/>
    <w:rsid w:val="019D155B"/>
    <w:rsid w:val="01A428BB"/>
    <w:rsid w:val="01AE307F"/>
    <w:rsid w:val="01B35169"/>
    <w:rsid w:val="01C00B7B"/>
    <w:rsid w:val="01CA1BB3"/>
    <w:rsid w:val="01D00B7E"/>
    <w:rsid w:val="01D46B8D"/>
    <w:rsid w:val="01D67ABF"/>
    <w:rsid w:val="01D866D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16C80"/>
    <w:rsid w:val="02DC3F9C"/>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45E8F"/>
    <w:rsid w:val="03496C64"/>
    <w:rsid w:val="035154D3"/>
    <w:rsid w:val="03527C38"/>
    <w:rsid w:val="0356746F"/>
    <w:rsid w:val="0360259A"/>
    <w:rsid w:val="036522E7"/>
    <w:rsid w:val="036E37C2"/>
    <w:rsid w:val="03746F87"/>
    <w:rsid w:val="037C6EF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242D1B"/>
    <w:rsid w:val="04251A4C"/>
    <w:rsid w:val="042D2E97"/>
    <w:rsid w:val="04305EA0"/>
    <w:rsid w:val="04310833"/>
    <w:rsid w:val="04343921"/>
    <w:rsid w:val="04346443"/>
    <w:rsid w:val="043865BF"/>
    <w:rsid w:val="043A14AD"/>
    <w:rsid w:val="044C78D8"/>
    <w:rsid w:val="04537B11"/>
    <w:rsid w:val="04684A28"/>
    <w:rsid w:val="046C0EAE"/>
    <w:rsid w:val="04782230"/>
    <w:rsid w:val="0479507E"/>
    <w:rsid w:val="04894975"/>
    <w:rsid w:val="04922411"/>
    <w:rsid w:val="049876B7"/>
    <w:rsid w:val="04A65723"/>
    <w:rsid w:val="04B14B03"/>
    <w:rsid w:val="04CF6607"/>
    <w:rsid w:val="04D46535"/>
    <w:rsid w:val="04DA1A87"/>
    <w:rsid w:val="04DC0F32"/>
    <w:rsid w:val="04DE1209"/>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636085"/>
    <w:rsid w:val="057D1D66"/>
    <w:rsid w:val="059D265F"/>
    <w:rsid w:val="059E1515"/>
    <w:rsid w:val="05B92EC1"/>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352A4"/>
    <w:rsid w:val="08193C24"/>
    <w:rsid w:val="082A7098"/>
    <w:rsid w:val="08334B3D"/>
    <w:rsid w:val="08341060"/>
    <w:rsid w:val="08732D34"/>
    <w:rsid w:val="08787FF0"/>
    <w:rsid w:val="087C4B7B"/>
    <w:rsid w:val="08824DF0"/>
    <w:rsid w:val="0889002B"/>
    <w:rsid w:val="089B79D9"/>
    <w:rsid w:val="08A44DA6"/>
    <w:rsid w:val="08AA245A"/>
    <w:rsid w:val="08AD2ACC"/>
    <w:rsid w:val="08BA6E24"/>
    <w:rsid w:val="08C024D5"/>
    <w:rsid w:val="08C562FD"/>
    <w:rsid w:val="08CA27B1"/>
    <w:rsid w:val="08E916DF"/>
    <w:rsid w:val="08F473EA"/>
    <w:rsid w:val="08FC0AA5"/>
    <w:rsid w:val="090E2F35"/>
    <w:rsid w:val="091B4FFA"/>
    <w:rsid w:val="092173F4"/>
    <w:rsid w:val="09262DE9"/>
    <w:rsid w:val="092F7300"/>
    <w:rsid w:val="09306537"/>
    <w:rsid w:val="09355076"/>
    <w:rsid w:val="09363922"/>
    <w:rsid w:val="09392119"/>
    <w:rsid w:val="09445E95"/>
    <w:rsid w:val="094C1D4E"/>
    <w:rsid w:val="09543B3B"/>
    <w:rsid w:val="09600FBD"/>
    <w:rsid w:val="0972595C"/>
    <w:rsid w:val="098143BC"/>
    <w:rsid w:val="098500F1"/>
    <w:rsid w:val="0992510E"/>
    <w:rsid w:val="09B33AE4"/>
    <w:rsid w:val="09BD407A"/>
    <w:rsid w:val="09BF125C"/>
    <w:rsid w:val="09C12CF5"/>
    <w:rsid w:val="09DA0E26"/>
    <w:rsid w:val="09DB6437"/>
    <w:rsid w:val="09E55691"/>
    <w:rsid w:val="09F67CD5"/>
    <w:rsid w:val="0A054821"/>
    <w:rsid w:val="0A077A43"/>
    <w:rsid w:val="0A0835C8"/>
    <w:rsid w:val="0A145721"/>
    <w:rsid w:val="0A281E8D"/>
    <w:rsid w:val="0A355EAA"/>
    <w:rsid w:val="0A3708FF"/>
    <w:rsid w:val="0A3B01F9"/>
    <w:rsid w:val="0A3F0488"/>
    <w:rsid w:val="0A402A36"/>
    <w:rsid w:val="0A4236A3"/>
    <w:rsid w:val="0A4E7EF5"/>
    <w:rsid w:val="0A646846"/>
    <w:rsid w:val="0A7B4D83"/>
    <w:rsid w:val="0A817CBD"/>
    <w:rsid w:val="0A8251CA"/>
    <w:rsid w:val="0A8828AB"/>
    <w:rsid w:val="0A927DC1"/>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F6A66"/>
    <w:rsid w:val="0B0130D7"/>
    <w:rsid w:val="0B0250FD"/>
    <w:rsid w:val="0B0F025C"/>
    <w:rsid w:val="0B1A6333"/>
    <w:rsid w:val="0B267BFC"/>
    <w:rsid w:val="0B2713F4"/>
    <w:rsid w:val="0B3B1BC1"/>
    <w:rsid w:val="0B3B5196"/>
    <w:rsid w:val="0B3D701F"/>
    <w:rsid w:val="0B3E7DD7"/>
    <w:rsid w:val="0B491629"/>
    <w:rsid w:val="0B4B40F9"/>
    <w:rsid w:val="0B554398"/>
    <w:rsid w:val="0B561995"/>
    <w:rsid w:val="0B5C2C2A"/>
    <w:rsid w:val="0B6148D2"/>
    <w:rsid w:val="0B665E0A"/>
    <w:rsid w:val="0B680DC4"/>
    <w:rsid w:val="0B7C0E60"/>
    <w:rsid w:val="0B847B39"/>
    <w:rsid w:val="0B892707"/>
    <w:rsid w:val="0B987E20"/>
    <w:rsid w:val="0B9E71DF"/>
    <w:rsid w:val="0BA65BCD"/>
    <w:rsid w:val="0BAD5CC5"/>
    <w:rsid w:val="0BAD5EDC"/>
    <w:rsid w:val="0BAF59B9"/>
    <w:rsid w:val="0BAF7709"/>
    <w:rsid w:val="0BB524B8"/>
    <w:rsid w:val="0BB756DF"/>
    <w:rsid w:val="0BC63DB2"/>
    <w:rsid w:val="0BCC4043"/>
    <w:rsid w:val="0BCC4B6A"/>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811B4"/>
    <w:rsid w:val="0D6E2620"/>
    <w:rsid w:val="0D704E21"/>
    <w:rsid w:val="0D7F48FE"/>
    <w:rsid w:val="0D883C88"/>
    <w:rsid w:val="0D9074CF"/>
    <w:rsid w:val="0D936E72"/>
    <w:rsid w:val="0D966BF7"/>
    <w:rsid w:val="0DB54F84"/>
    <w:rsid w:val="0DB84465"/>
    <w:rsid w:val="0DCC3AE8"/>
    <w:rsid w:val="0DD87842"/>
    <w:rsid w:val="0DDE2885"/>
    <w:rsid w:val="0DEF012A"/>
    <w:rsid w:val="0DF202E1"/>
    <w:rsid w:val="0DF53CE3"/>
    <w:rsid w:val="0E0961C5"/>
    <w:rsid w:val="0E0C6AA6"/>
    <w:rsid w:val="0E147898"/>
    <w:rsid w:val="0E264DDB"/>
    <w:rsid w:val="0E2F216B"/>
    <w:rsid w:val="0E327317"/>
    <w:rsid w:val="0E3352C6"/>
    <w:rsid w:val="0E3A5EE2"/>
    <w:rsid w:val="0E3E2FEF"/>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72E4B"/>
    <w:rsid w:val="0EEC6F1D"/>
    <w:rsid w:val="0F0621F6"/>
    <w:rsid w:val="0F103291"/>
    <w:rsid w:val="0F15660A"/>
    <w:rsid w:val="0F1D0EA6"/>
    <w:rsid w:val="0F1D498B"/>
    <w:rsid w:val="0F22242C"/>
    <w:rsid w:val="0F337178"/>
    <w:rsid w:val="0F3B15FC"/>
    <w:rsid w:val="0F41022A"/>
    <w:rsid w:val="0F56743B"/>
    <w:rsid w:val="0F60682C"/>
    <w:rsid w:val="0F6763D9"/>
    <w:rsid w:val="0F715B2B"/>
    <w:rsid w:val="0F744211"/>
    <w:rsid w:val="0F764270"/>
    <w:rsid w:val="0F7F273F"/>
    <w:rsid w:val="0F7F7919"/>
    <w:rsid w:val="0F8418ED"/>
    <w:rsid w:val="0F8B3A90"/>
    <w:rsid w:val="0F8C533F"/>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52718"/>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97A08"/>
    <w:rsid w:val="11921373"/>
    <w:rsid w:val="119D7849"/>
    <w:rsid w:val="11A615EE"/>
    <w:rsid w:val="11A658F4"/>
    <w:rsid w:val="11B16FA5"/>
    <w:rsid w:val="11B91A57"/>
    <w:rsid w:val="11BA3FAE"/>
    <w:rsid w:val="11C67B8F"/>
    <w:rsid w:val="11CE730E"/>
    <w:rsid w:val="11D815C4"/>
    <w:rsid w:val="11D85BD5"/>
    <w:rsid w:val="11E57D4F"/>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6532DD"/>
    <w:rsid w:val="12680E73"/>
    <w:rsid w:val="12763466"/>
    <w:rsid w:val="127E5AA6"/>
    <w:rsid w:val="128B2749"/>
    <w:rsid w:val="128E1E81"/>
    <w:rsid w:val="129019B5"/>
    <w:rsid w:val="129811DB"/>
    <w:rsid w:val="129937EE"/>
    <w:rsid w:val="129E6282"/>
    <w:rsid w:val="129F3A3A"/>
    <w:rsid w:val="12AA7237"/>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2D1ACC"/>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9587F"/>
    <w:rsid w:val="155E7DEC"/>
    <w:rsid w:val="15740334"/>
    <w:rsid w:val="1574662E"/>
    <w:rsid w:val="15751882"/>
    <w:rsid w:val="1575191B"/>
    <w:rsid w:val="157818C6"/>
    <w:rsid w:val="159F73BB"/>
    <w:rsid w:val="15B03F28"/>
    <w:rsid w:val="15C15E25"/>
    <w:rsid w:val="15C42571"/>
    <w:rsid w:val="15E30A80"/>
    <w:rsid w:val="15FD2FA2"/>
    <w:rsid w:val="16021A7C"/>
    <w:rsid w:val="1608480E"/>
    <w:rsid w:val="161C1C58"/>
    <w:rsid w:val="162B27CD"/>
    <w:rsid w:val="162D7415"/>
    <w:rsid w:val="162F755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12339A"/>
    <w:rsid w:val="171E63FC"/>
    <w:rsid w:val="1722504D"/>
    <w:rsid w:val="17306175"/>
    <w:rsid w:val="1738730F"/>
    <w:rsid w:val="173C1279"/>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92501"/>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56393"/>
    <w:rsid w:val="18A8582C"/>
    <w:rsid w:val="18B50543"/>
    <w:rsid w:val="18CA40C3"/>
    <w:rsid w:val="18CD7A02"/>
    <w:rsid w:val="18D904AC"/>
    <w:rsid w:val="19001FFC"/>
    <w:rsid w:val="19083894"/>
    <w:rsid w:val="190E2B4A"/>
    <w:rsid w:val="19256D7A"/>
    <w:rsid w:val="193275C2"/>
    <w:rsid w:val="19342CF4"/>
    <w:rsid w:val="193A500F"/>
    <w:rsid w:val="193B3E86"/>
    <w:rsid w:val="19463A75"/>
    <w:rsid w:val="194D2005"/>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858FF"/>
    <w:rsid w:val="1A4C698A"/>
    <w:rsid w:val="1A4D778D"/>
    <w:rsid w:val="1A5D5219"/>
    <w:rsid w:val="1A5E4B5A"/>
    <w:rsid w:val="1A672B1C"/>
    <w:rsid w:val="1A7070DD"/>
    <w:rsid w:val="1A805F1C"/>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D536D"/>
    <w:rsid w:val="1B0F19AE"/>
    <w:rsid w:val="1B141BBC"/>
    <w:rsid w:val="1B2160BB"/>
    <w:rsid w:val="1B3637AD"/>
    <w:rsid w:val="1B3E0DB5"/>
    <w:rsid w:val="1B454C94"/>
    <w:rsid w:val="1B454E69"/>
    <w:rsid w:val="1B5C1145"/>
    <w:rsid w:val="1B5D79CB"/>
    <w:rsid w:val="1B6B769D"/>
    <w:rsid w:val="1B6C0DF0"/>
    <w:rsid w:val="1B7F6005"/>
    <w:rsid w:val="1B9C269A"/>
    <w:rsid w:val="1B9E64C5"/>
    <w:rsid w:val="1B9E6D4C"/>
    <w:rsid w:val="1BB07CEA"/>
    <w:rsid w:val="1BB834E2"/>
    <w:rsid w:val="1BBD43BA"/>
    <w:rsid w:val="1BC01115"/>
    <w:rsid w:val="1BC44015"/>
    <w:rsid w:val="1BC96DA5"/>
    <w:rsid w:val="1BCA6284"/>
    <w:rsid w:val="1BCC6C47"/>
    <w:rsid w:val="1BE32C74"/>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34749"/>
    <w:rsid w:val="1DDD201B"/>
    <w:rsid w:val="1DE94164"/>
    <w:rsid w:val="1DEE1B11"/>
    <w:rsid w:val="1E105A20"/>
    <w:rsid w:val="1E164B52"/>
    <w:rsid w:val="1E26583C"/>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F21BE"/>
    <w:rsid w:val="1F4F2219"/>
    <w:rsid w:val="1F614D01"/>
    <w:rsid w:val="1F721405"/>
    <w:rsid w:val="1F935819"/>
    <w:rsid w:val="1FA036A3"/>
    <w:rsid w:val="1FA6556D"/>
    <w:rsid w:val="1FAF2571"/>
    <w:rsid w:val="1FB11C9E"/>
    <w:rsid w:val="1FB33036"/>
    <w:rsid w:val="1FC55EDA"/>
    <w:rsid w:val="1FC658C9"/>
    <w:rsid w:val="1FCE593C"/>
    <w:rsid w:val="1FE312AC"/>
    <w:rsid w:val="1FEC5915"/>
    <w:rsid w:val="1FED32EF"/>
    <w:rsid w:val="1FF82884"/>
    <w:rsid w:val="201E6D7C"/>
    <w:rsid w:val="20446081"/>
    <w:rsid w:val="204852AD"/>
    <w:rsid w:val="204A6449"/>
    <w:rsid w:val="204E6676"/>
    <w:rsid w:val="20580C17"/>
    <w:rsid w:val="20595924"/>
    <w:rsid w:val="205A5AA0"/>
    <w:rsid w:val="20773A28"/>
    <w:rsid w:val="208574F4"/>
    <w:rsid w:val="208C4449"/>
    <w:rsid w:val="208F6BAF"/>
    <w:rsid w:val="209414DB"/>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810744"/>
    <w:rsid w:val="218D6EF5"/>
    <w:rsid w:val="2195668B"/>
    <w:rsid w:val="219F69EC"/>
    <w:rsid w:val="21A130EA"/>
    <w:rsid w:val="21B405F8"/>
    <w:rsid w:val="21B5366A"/>
    <w:rsid w:val="21C267BF"/>
    <w:rsid w:val="21C67C42"/>
    <w:rsid w:val="21CB6217"/>
    <w:rsid w:val="21CD6BCD"/>
    <w:rsid w:val="21CE6067"/>
    <w:rsid w:val="21CF439A"/>
    <w:rsid w:val="21D824E4"/>
    <w:rsid w:val="21F00127"/>
    <w:rsid w:val="21F7745C"/>
    <w:rsid w:val="22035C75"/>
    <w:rsid w:val="221D2FA3"/>
    <w:rsid w:val="2226635F"/>
    <w:rsid w:val="222D4F0B"/>
    <w:rsid w:val="223A29CF"/>
    <w:rsid w:val="223D7545"/>
    <w:rsid w:val="22411D14"/>
    <w:rsid w:val="22423BE1"/>
    <w:rsid w:val="22454449"/>
    <w:rsid w:val="22500810"/>
    <w:rsid w:val="22596EC8"/>
    <w:rsid w:val="226347BD"/>
    <w:rsid w:val="22682935"/>
    <w:rsid w:val="226E0A7E"/>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2C2DD6"/>
    <w:rsid w:val="233C6F76"/>
    <w:rsid w:val="234449F5"/>
    <w:rsid w:val="23536618"/>
    <w:rsid w:val="236C1BCA"/>
    <w:rsid w:val="237464D5"/>
    <w:rsid w:val="23816932"/>
    <w:rsid w:val="23925D42"/>
    <w:rsid w:val="239C062C"/>
    <w:rsid w:val="23A9484E"/>
    <w:rsid w:val="23B32F98"/>
    <w:rsid w:val="23B84268"/>
    <w:rsid w:val="23D17D7B"/>
    <w:rsid w:val="23D36D91"/>
    <w:rsid w:val="23E02099"/>
    <w:rsid w:val="23F70BA5"/>
    <w:rsid w:val="23F93D0D"/>
    <w:rsid w:val="2405417E"/>
    <w:rsid w:val="24197365"/>
    <w:rsid w:val="241B5C62"/>
    <w:rsid w:val="24312CB0"/>
    <w:rsid w:val="24513B48"/>
    <w:rsid w:val="2458381E"/>
    <w:rsid w:val="245872F9"/>
    <w:rsid w:val="245943D9"/>
    <w:rsid w:val="245E6B64"/>
    <w:rsid w:val="2463385E"/>
    <w:rsid w:val="246B2606"/>
    <w:rsid w:val="24767C7B"/>
    <w:rsid w:val="247C178B"/>
    <w:rsid w:val="24861BCE"/>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91F8B"/>
    <w:rsid w:val="256E76DE"/>
    <w:rsid w:val="25733F7D"/>
    <w:rsid w:val="25734B61"/>
    <w:rsid w:val="257632D6"/>
    <w:rsid w:val="25833F72"/>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E3CBF"/>
    <w:rsid w:val="26395C92"/>
    <w:rsid w:val="2641231E"/>
    <w:rsid w:val="264252DF"/>
    <w:rsid w:val="26465DA0"/>
    <w:rsid w:val="26562F1C"/>
    <w:rsid w:val="26577EF5"/>
    <w:rsid w:val="265A5249"/>
    <w:rsid w:val="266237C3"/>
    <w:rsid w:val="267550B9"/>
    <w:rsid w:val="26996DAE"/>
    <w:rsid w:val="26BE1846"/>
    <w:rsid w:val="26C472EC"/>
    <w:rsid w:val="26E51F4F"/>
    <w:rsid w:val="26EC491A"/>
    <w:rsid w:val="26ED73E1"/>
    <w:rsid w:val="26F503CD"/>
    <w:rsid w:val="27036506"/>
    <w:rsid w:val="27047832"/>
    <w:rsid w:val="2706037D"/>
    <w:rsid w:val="27077793"/>
    <w:rsid w:val="270D152E"/>
    <w:rsid w:val="271436A9"/>
    <w:rsid w:val="27204B5D"/>
    <w:rsid w:val="27257DE1"/>
    <w:rsid w:val="272F31A0"/>
    <w:rsid w:val="27310CAC"/>
    <w:rsid w:val="27342901"/>
    <w:rsid w:val="273D2762"/>
    <w:rsid w:val="27470B72"/>
    <w:rsid w:val="27525E32"/>
    <w:rsid w:val="27604751"/>
    <w:rsid w:val="276D111F"/>
    <w:rsid w:val="2778582E"/>
    <w:rsid w:val="27806765"/>
    <w:rsid w:val="27821DE7"/>
    <w:rsid w:val="27832596"/>
    <w:rsid w:val="278C1620"/>
    <w:rsid w:val="279B1E53"/>
    <w:rsid w:val="279C5F0C"/>
    <w:rsid w:val="27AA3521"/>
    <w:rsid w:val="27AB7429"/>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6C2D77"/>
    <w:rsid w:val="2A6E31F8"/>
    <w:rsid w:val="2A7270B7"/>
    <w:rsid w:val="2A87174E"/>
    <w:rsid w:val="2A8A2F9C"/>
    <w:rsid w:val="2AA45D17"/>
    <w:rsid w:val="2AAB3B94"/>
    <w:rsid w:val="2AAC5A06"/>
    <w:rsid w:val="2AB775FB"/>
    <w:rsid w:val="2ABB3D6F"/>
    <w:rsid w:val="2AC70B30"/>
    <w:rsid w:val="2ACC2AAF"/>
    <w:rsid w:val="2AD74744"/>
    <w:rsid w:val="2AD91AC2"/>
    <w:rsid w:val="2AE57C95"/>
    <w:rsid w:val="2AF34B3D"/>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B422C"/>
    <w:rsid w:val="2BA07D38"/>
    <w:rsid w:val="2BC40957"/>
    <w:rsid w:val="2BCA5C66"/>
    <w:rsid w:val="2BCB5DAA"/>
    <w:rsid w:val="2BD65380"/>
    <w:rsid w:val="2BD86372"/>
    <w:rsid w:val="2BDA39FD"/>
    <w:rsid w:val="2BE725D0"/>
    <w:rsid w:val="2BF369B9"/>
    <w:rsid w:val="2BFC0A4A"/>
    <w:rsid w:val="2C094904"/>
    <w:rsid w:val="2C0E55A1"/>
    <w:rsid w:val="2C346DB5"/>
    <w:rsid w:val="2C3A7BF6"/>
    <w:rsid w:val="2C425BCE"/>
    <w:rsid w:val="2C44676A"/>
    <w:rsid w:val="2C495C38"/>
    <w:rsid w:val="2C4A080C"/>
    <w:rsid w:val="2C4E77B9"/>
    <w:rsid w:val="2C54533B"/>
    <w:rsid w:val="2C591378"/>
    <w:rsid w:val="2C797A76"/>
    <w:rsid w:val="2C8B6C0E"/>
    <w:rsid w:val="2C8F4862"/>
    <w:rsid w:val="2C9E5AC8"/>
    <w:rsid w:val="2CA05674"/>
    <w:rsid w:val="2CA2721B"/>
    <w:rsid w:val="2CAC6D87"/>
    <w:rsid w:val="2CB268EE"/>
    <w:rsid w:val="2CB600FC"/>
    <w:rsid w:val="2CCB6E18"/>
    <w:rsid w:val="2CCF5C52"/>
    <w:rsid w:val="2CE8526F"/>
    <w:rsid w:val="2D026315"/>
    <w:rsid w:val="2D0764BD"/>
    <w:rsid w:val="2D0A3DA2"/>
    <w:rsid w:val="2D0B3169"/>
    <w:rsid w:val="2D0D4219"/>
    <w:rsid w:val="2D105AFA"/>
    <w:rsid w:val="2D2279B8"/>
    <w:rsid w:val="2D274320"/>
    <w:rsid w:val="2D2D2DE2"/>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DFB42D6"/>
    <w:rsid w:val="2E147A92"/>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664E2B"/>
    <w:rsid w:val="2F6C7BE3"/>
    <w:rsid w:val="2F783485"/>
    <w:rsid w:val="2F7A17CB"/>
    <w:rsid w:val="2F7A78AC"/>
    <w:rsid w:val="2F7F5C0B"/>
    <w:rsid w:val="2F895685"/>
    <w:rsid w:val="2F9A13B4"/>
    <w:rsid w:val="2FA6492D"/>
    <w:rsid w:val="2FC86676"/>
    <w:rsid w:val="2FD17A1B"/>
    <w:rsid w:val="2FD71CA4"/>
    <w:rsid w:val="2FDC432A"/>
    <w:rsid w:val="2FDC4A8D"/>
    <w:rsid w:val="2FE27109"/>
    <w:rsid w:val="2FEA743A"/>
    <w:rsid w:val="2FF24D11"/>
    <w:rsid w:val="2FF93066"/>
    <w:rsid w:val="301742B2"/>
    <w:rsid w:val="301A1509"/>
    <w:rsid w:val="301A71CE"/>
    <w:rsid w:val="301D63DD"/>
    <w:rsid w:val="301E049B"/>
    <w:rsid w:val="302A4BE6"/>
    <w:rsid w:val="304478EC"/>
    <w:rsid w:val="304F4511"/>
    <w:rsid w:val="30515C8E"/>
    <w:rsid w:val="305823FF"/>
    <w:rsid w:val="30926F91"/>
    <w:rsid w:val="30962F3E"/>
    <w:rsid w:val="30A85733"/>
    <w:rsid w:val="30AA2585"/>
    <w:rsid w:val="30C16A19"/>
    <w:rsid w:val="30C262B6"/>
    <w:rsid w:val="30CB5800"/>
    <w:rsid w:val="30D32236"/>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5644C"/>
    <w:rsid w:val="31870868"/>
    <w:rsid w:val="31875BB4"/>
    <w:rsid w:val="31A9328B"/>
    <w:rsid w:val="31B718F2"/>
    <w:rsid w:val="31C57B88"/>
    <w:rsid w:val="31D20051"/>
    <w:rsid w:val="31E745D2"/>
    <w:rsid w:val="31EF7EE8"/>
    <w:rsid w:val="3201404F"/>
    <w:rsid w:val="320901F5"/>
    <w:rsid w:val="320B7CCB"/>
    <w:rsid w:val="32105DE8"/>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A47053"/>
    <w:rsid w:val="33AD5111"/>
    <w:rsid w:val="33BF4199"/>
    <w:rsid w:val="33CD23A8"/>
    <w:rsid w:val="33CD6498"/>
    <w:rsid w:val="33D7554F"/>
    <w:rsid w:val="33D825FA"/>
    <w:rsid w:val="33DB2AB1"/>
    <w:rsid w:val="33FE62E7"/>
    <w:rsid w:val="34080399"/>
    <w:rsid w:val="340D25F6"/>
    <w:rsid w:val="34161D6C"/>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C20DC7"/>
    <w:rsid w:val="34DA26A8"/>
    <w:rsid w:val="34DE2B9F"/>
    <w:rsid w:val="34DF0124"/>
    <w:rsid w:val="34E145D2"/>
    <w:rsid w:val="34E75EA5"/>
    <w:rsid w:val="34E960F1"/>
    <w:rsid w:val="34EE6187"/>
    <w:rsid w:val="350A65C4"/>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F6BDF"/>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DD3943"/>
    <w:rsid w:val="3BED002E"/>
    <w:rsid w:val="3C0429BF"/>
    <w:rsid w:val="3C066389"/>
    <w:rsid w:val="3C0D66FC"/>
    <w:rsid w:val="3C120C48"/>
    <w:rsid w:val="3C1A201A"/>
    <w:rsid w:val="3C1E2D44"/>
    <w:rsid w:val="3C276807"/>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768D2"/>
    <w:rsid w:val="3D3A3838"/>
    <w:rsid w:val="3D3D6BBD"/>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EC7D18"/>
    <w:rsid w:val="40ED11A0"/>
    <w:rsid w:val="40FD1BF0"/>
    <w:rsid w:val="41015E92"/>
    <w:rsid w:val="41096BC0"/>
    <w:rsid w:val="410A75B6"/>
    <w:rsid w:val="410B452A"/>
    <w:rsid w:val="41146D26"/>
    <w:rsid w:val="411B6EDC"/>
    <w:rsid w:val="413353F1"/>
    <w:rsid w:val="414C0B0E"/>
    <w:rsid w:val="41513BC9"/>
    <w:rsid w:val="41735B7F"/>
    <w:rsid w:val="419302E2"/>
    <w:rsid w:val="419E558F"/>
    <w:rsid w:val="419E60D3"/>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44AA"/>
    <w:rsid w:val="43296963"/>
    <w:rsid w:val="4332317A"/>
    <w:rsid w:val="433246A0"/>
    <w:rsid w:val="433E7EE2"/>
    <w:rsid w:val="433F6B54"/>
    <w:rsid w:val="43424AD7"/>
    <w:rsid w:val="4346543A"/>
    <w:rsid w:val="43533E29"/>
    <w:rsid w:val="43561E16"/>
    <w:rsid w:val="435B1259"/>
    <w:rsid w:val="436263D5"/>
    <w:rsid w:val="437556C4"/>
    <w:rsid w:val="43785890"/>
    <w:rsid w:val="43874CD4"/>
    <w:rsid w:val="439B699F"/>
    <w:rsid w:val="439D3E18"/>
    <w:rsid w:val="439F1200"/>
    <w:rsid w:val="43AE320F"/>
    <w:rsid w:val="43AF2D32"/>
    <w:rsid w:val="43B13512"/>
    <w:rsid w:val="43B76E4F"/>
    <w:rsid w:val="43C312BD"/>
    <w:rsid w:val="43CF0206"/>
    <w:rsid w:val="43D50BA1"/>
    <w:rsid w:val="43D85D6D"/>
    <w:rsid w:val="43EC6F1F"/>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176558"/>
    <w:rsid w:val="46214325"/>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05EC1"/>
    <w:rsid w:val="47523FA0"/>
    <w:rsid w:val="476700F2"/>
    <w:rsid w:val="47696F9C"/>
    <w:rsid w:val="47714F1F"/>
    <w:rsid w:val="47725A17"/>
    <w:rsid w:val="477D3243"/>
    <w:rsid w:val="478821A1"/>
    <w:rsid w:val="479128A9"/>
    <w:rsid w:val="47975EDC"/>
    <w:rsid w:val="47983B19"/>
    <w:rsid w:val="479E2C8A"/>
    <w:rsid w:val="47A3609D"/>
    <w:rsid w:val="47C01792"/>
    <w:rsid w:val="47C57A48"/>
    <w:rsid w:val="47D511BD"/>
    <w:rsid w:val="4808150F"/>
    <w:rsid w:val="480F51A8"/>
    <w:rsid w:val="481604F9"/>
    <w:rsid w:val="481A006F"/>
    <w:rsid w:val="48256B1B"/>
    <w:rsid w:val="48282713"/>
    <w:rsid w:val="482A6E62"/>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354EC"/>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F400AC"/>
    <w:rsid w:val="49F9104E"/>
    <w:rsid w:val="4A0244D3"/>
    <w:rsid w:val="4A255046"/>
    <w:rsid w:val="4A2E1525"/>
    <w:rsid w:val="4A5A756D"/>
    <w:rsid w:val="4A722B4C"/>
    <w:rsid w:val="4A785772"/>
    <w:rsid w:val="4A7A7433"/>
    <w:rsid w:val="4A842E43"/>
    <w:rsid w:val="4A886D1D"/>
    <w:rsid w:val="4A89105B"/>
    <w:rsid w:val="4A955EEB"/>
    <w:rsid w:val="4AA341CC"/>
    <w:rsid w:val="4AC13295"/>
    <w:rsid w:val="4AC31003"/>
    <w:rsid w:val="4AC40F4C"/>
    <w:rsid w:val="4AD25F33"/>
    <w:rsid w:val="4AD763B8"/>
    <w:rsid w:val="4ADD641F"/>
    <w:rsid w:val="4AE072CB"/>
    <w:rsid w:val="4AE93159"/>
    <w:rsid w:val="4AED65F4"/>
    <w:rsid w:val="4AF02EA1"/>
    <w:rsid w:val="4B0428AF"/>
    <w:rsid w:val="4B174032"/>
    <w:rsid w:val="4B1D7328"/>
    <w:rsid w:val="4B250CF8"/>
    <w:rsid w:val="4B2873FD"/>
    <w:rsid w:val="4B3D4DE9"/>
    <w:rsid w:val="4B59618C"/>
    <w:rsid w:val="4B5B2C7E"/>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AF14C5"/>
    <w:rsid w:val="4DB9067A"/>
    <w:rsid w:val="4DC605B6"/>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901714"/>
    <w:rsid w:val="4E93511F"/>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7BF3"/>
    <w:rsid w:val="4F2E2624"/>
    <w:rsid w:val="4F4E1077"/>
    <w:rsid w:val="4F546156"/>
    <w:rsid w:val="4F64780B"/>
    <w:rsid w:val="4F844A99"/>
    <w:rsid w:val="4F94662C"/>
    <w:rsid w:val="4FAB774E"/>
    <w:rsid w:val="4FB00163"/>
    <w:rsid w:val="4FB208E7"/>
    <w:rsid w:val="4FE30332"/>
    <w:rsid w:val="4FE70BB4"/>
    <w:rsid w:val="4FE73C01"/>
    <w:rsid w:val="4FE76D51"/>
    <w:rsid w:val="4FE87C31"/>
    <w:rsid w:val="4FF03F98"/>
    <w:rsid w:val="4FF14DC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A578DE"/>
    <w:rsid w:val="50A649F5"/>
    <w:rsid w:val="50AB5EB6"/>
    <w:rsid w:val="50AE6FE2"/>
    <w:rsid w:val="50B16618"/>
    <w:rsid w:val="50BB6306"/>
    <w:rsid w:val="50C12EDC"/>
    <w:rsid w:val="50CD2E4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F6CC6"/>
    <w:rsid w:val="5147175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375C1"/>
    <w:rsid w:val="51953936"/>
    <w:rsid w:val="519E116A"/>
    <w:rsid w:val="51A2793A"/>
    <w:rsid w:val="51B71820"/>
    <w:rsid w:val="51BA0CB7"/>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24532"/>
    <w:rsid w:val="52A611A1"/>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1A3EF7"/>
    <w:rsid w:val="54201800"/>
    <w:rsid w:val="54247F22"/>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A4479"/>
    <w:rsid w:val="551B7F0A"/>
    <w:rsid w:val="552A6B56"/>
    <w:rsid w:val="55314F13"/>
    <w:rsid w:val="5532385A"/>
    <w:rsid w:val="55352DB9"/>
    <w:rsid w:val="55381D42"/>
    <w:rsid w:val="55401B14"/>
    <w:rsid w:val="554748F2"/>
    <w:rsid w:val="554D414C"/>
    <w:rsid w:val="554E7279"/>
    <w:rsid w:val="55594FFB"/>
    <w:rsid w:val="55637CEB"/>
    <w:rsid w:val="55677DDA"/>
    <w:rsid w:val="55757FB9"/>
    <w:rsid w:val="55884237"/>
    <w:rsid w:val="558B1E31"/>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B36FBA"/>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CB35DF"/>
    <w:rsid w:val="57D82354"/>
    <w:rsid w:val="57FC07D9"/>
    <w:rsid w:val="57FF6992"/>
    <w:rsid w:val="58036FF1"/>
    <w:rsid w:val="580F1B21"/>
    <w:rsid w:val="581B7E79"/>
    <w:rsid w:val="58420FA1"/>
    <w:rsid w:val="58500F22"/>
    <w:rsid w:val="58587379"/>
    <w:rsid w:val="585D72B5"/>
    <w:rsid w:val="586D57A3"/>
    <w:rsid w:val="587917A0"/>
    <w:rsid w:val="587A4288"/>
    <w:rsid w:val="5880052B"/>
    <w:rsid w:val="588E3967"/>
    <w:rsid w:val="58AD27D9"/>
    <w:rsid w:val="58B169A2"/>
    <w:rsid w:val="58B9636C"/>
    <w:rsid w:val="58C37133"/>
    <w:rsid w:val="58C93046"/>
    <w:rsid w:val="58D36BCB"/>
    <w:rsid w:val="58D8157C"/>
    <w:rsid w:val="58E11166"/>
    <w:rsid w:val="58E6349C"/>
    <w:rsid w:val="58E83DEC"/>
    <w:rsid w:val="58EF63EE"/>
    <w:rsid w:val="590317F0"/>
    <w:rsid w:val="59075000"/>
    <w:rsid w:val="593559FD"/>
    <w:rsid w:val="594079B2"/>
    <w:rsid w:val="595B45EE"/>
    <w:rsid w:val="596A688E"/>
    <w:rsid w:val="59860400"/>
    <w:rsid w:val="5987482A"/>
    <w:rsid w:val="598A58C2"/>
    <w:rsid w:val="598C6F19"/>
    <w:rsid w:val="599C49A8"/>
    <w:rsid w:val="59A252D5"/>
    <w:rsid w:val="59A36725"/>
    <w:rsid w:val="59AD4E2E"/>
    <w:rsid w:val="59B14918"/>
    <w:rsid w:val="59B21BF9"/>
    <w:rsid w:val="59B80C41"/>
    <w:rsid w:val="59BB4EA3"/>
    <w:rsid w:val="59E9525B"/>
    <w:rsid w:val="59F70BAF"/>
    <w:rsid w:val="5A0627A6"/>
    <w:rsid w:val="5A297D0D"/>
    <w:rsid w:val="5A37176F"/>
    <w:rsid w:val="5A3C0F08"/>
    <w:rsid w:val="5A3E5B83"/>
    <w:rsid w:val="5A50588C"/>
    <w:rsid w:val="5A5663A3"/>
    <w:rsid w:val="5A5706C7"/>
    <w:rsid w:val="5A571746"/>
    <w:rsid w:val="5A594793"/>
    <w:rsid w:val="5A5B6E89"/>
    <w:rsid w:val="5A6253E3"/>
    <w:rsid w:val="5A641DE9"/>
    <w:rsid w:val="5A8E6670"/>
    <w:rsid w:val="5A912613"/>
    <w:rsid w:val="5A9245E9"/>
    <w:rsid w:val="5A953D41"/>
    <w:rsid w:val="5AA75D85"/>
    <w:rsid w:val="5ABC50F4"/>
    <w:rsid w:val="5ACC4940"/>
    <w:rsid w:val="5ACD3CD2"/>
    <w:rsid w:val="5AD7333E"/>
    <w:rsid w:val="5AD86A6D"/>
    <w:rsid w:val="5AE8708E"/>
    <w:rsid w:val="5AEC14F6"/>
    <w:rsid w:val="5AF124A4"/>
    <w:rsid w:val="5B0A4D6B"/>
    <w:rsid w:val="5B141085"/>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97C4E"/>
    <w:rsid w:val="5C1A3A93"/>
    <w:rsid w:val="5C235386"/>
    <w:rsid w:val="5C2A4E9F"/>
    <w:rsid w:val="5C37782E"/>
    <w:rsid w:val="5C3B6CFC"/>
    <w:rsid w:val="5C4735D5"/>
    <w:rsid w:val="5C4C2CF4"/>
    <w:rsid w:val="5C6B1600"/>
    <w:rsid w:val="5C6E26BF"/>
    <w:rsid w:val="5C706511"/>
    <w:rsid w:val="5C7D70D1"/>
    <w:rsid w:val="5C8542A8"/>
    <w:rsid w:val="5CA6294E"/>
    <w:rsid w:val="5CCC1DEC"/>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3370DF"/>
    <w:rsid w:val="5F683B6E"/>
    <w:rsid w:val="5F684490"/>
    <w:rsid w:val="5F697EE8"/>
    <w:rsid w:val="5F6D06D6"/>
    <w:rsid w:val="5F6E768C"/>
    <w:rsid w:val="5F875C0C"/>
    <w:rsid w:val="5F8A0701"/>
    <w:rsid w:val="5F8F0B9E"/>
    <w:rsid w:val="5F8F267A"/>
    <w:rsid w:val="5F941274"/>
    <w:rsid w:val="5F9A540B"/>
    <w:rsid w:val="5FAB7F08"/>
    <w:rsid w:val="5FB7185B"/>
    <w:rsid w:val="5FB94C48"/>
    <w:rsid w:val="5FBE576C"/>
    <w:rsid w:val="5FDE327E"/>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C4BE1"/>
    <w:rsid w:val="61D33618"/>
    <w:rsid w:val="61D43A2B"/>
    <w:rsid w:val="61E34474"/>
    <w:rsid w:val="61ED6D6A"/>
    <w:rsid w:val="61FF316E"/>
    <w:rsid w:val="62014BDB"/>
    <w:rsid w:val="621542CB"/>
    <w:rsid w:val="621C2930"/>
    <w:rsid w:val="624263A2"/>
    <w:rsid w:val="625272C3"/>
    <w:rsid w:val="62715337"/>
    <w:rsid w:val="6280204D"/>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771D13"/>
    <w:rsid w:val="638C3395"/>
    <w:rsid w:val="63B37325"/>
    <w:rsid w:val="63B82D87"/>
    <w:rsid w:val="63BA3154"/>
    <w:rsid w:val="63CA2E8B"/>
    <w:rsid w:val="63CF097D"/>
    <w:rsid w:val="63D4153E"/>
    <w:rsid w:val="63DA0FA3"/>
    <w:rsid w:val="63DC7755"/>
    <w:rsid w:val="63E43D21"/>
    <w:rsid w:val="63E774B3"/>
    <w:rsid w:val="63F47D2A"/>
    <w:rsid w:val="63F6335E"/>
    <w:rsid w:val="63FE2D33"/>
    <w:rsid w:val="64046427"/>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B1AC2"/>
    <w:rsid w:val="649B4C1C"/>
    <w:rsid w:val="64A7467B"/>
    <w:rsid w:val="64B53322"/>
    <w:rsid w:val="64C41B57"/>
    <w:rsid w:val="64C61AF8"/>
    <w:rsid w:val="64C86505"/>
    <w:rsid w:val="64E65F95"/>
    <w:rsid w:val="64EB5728"/>
    <w:rsid w:val="64FB4412"/>
    <w:rsid w:val="64FE700F"/>
    <w:rsid w:val="6500327F"/>
    <w:rsid w:val="6506609B"/>
    <w:rsid w:val="65083216"/>
    <w:rsid w:val="650A57D3"/>
    <w:rsid w:val="65450AE6"/>
    <w:rsid w:val="65460728"/>
    <w:rsid w:val="654835A8"/>
    <w:rsid w:val="65733E15"/>
    <w:rsid w:val="65822810"/>
    <w:rsid w:val="65870C45"/>
    <w:rsid w:val="659705FF"/>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5E09BF"/>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2C45D9"/>
    <w:rsid w:val="67302DC3"/>
    <w:rsid w:val="67316C6B"/>
    <w:rsid w:val="6734198F"/>
    <w:rsid w:val="674318B2"/>
    <w:rsid w:val="674D4B22"/>
    <w:rsid w:val="67570422"/>
    <w:rsid w:val="675D31B4"/>
    <w:rsid w:val="67611575"/>
    <w:rsid w:val="676141B6"/>
    <w:rsid w:val="676D2F4B"/>
    <w:rsid w:val="677A266A"/>
    <w:rsid w:val="677C1A81"/>
    <w:rsid w:val="677E7198"/>
    <w:rsid w:val="678A426A"/>
    <w:rsid w:val="67914BE1"/>
    <w:rsid w:val="679305CA"/>
    <w:rsid w:val="679348FA"/>
    <w:rsid w:val="67A01F16"/>
    <w:rsid w:val="67A2026E"/>
    <w:rsid w:val="67AD0902"/>
    <w:rsid w:val="67B163D1"/>
    <w:rsid w:val="67B21931"/>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507C6"/>
    <w:rsid w:val="68E24981"/>
    <w:rsid w:val="68E62C62"/>
    <w:rsid w:val="68ED60A5"/>
    <w:rsid w:val="69123F86"/>
    <w:rsid w:val="691C1D81"/>
    <w:rsid w:val="691C3525"/>
    <w:rsid w:val="691C4B46"/>
    <w:rsid w:val="69216128"/>
    <w:rsid w:val="69250799"/>
    <w:rsid w:val="69280874"/>
    <w:rsid w:val="69280B13"/>
    <w:rsid w:val="692E74C3"/>
    <w:rsid w:val="69307671"/>
    <w:rsid w:val="695D6B21"/>
    <w:rsid w:val="69611EE7"/>
    <w:rsid w:val="69621F5B"/>
    <w:rsid w:val="696C708E"/>
    <w:rsid w:val="696F4D5D"/>
    <w:rsid w:val="69850877"/>
    <w:rsid w:val="698C13C5"/>
    <w:rsid w:val="699C6DD3"/>
    <w:rsid w:val="69EB1E1E"/>
    <w:rsid w:val="69F0745A"/>
    <w:rsid w:val="6A0D20F2"/>
    <w:rsid w:val="6A1757B7"/>
    <w:rsid w:val="6A1A2066"/>
    <w:rsid w:val="6A1D59EC"/>
    <w:rsid w:val="6A247F72"/>
    <w:rsid w:val="6A2E5EF8"/>
    <w:rsid w:val="6A3E2393"/>
    <w:rsid w:val="6A435B92"/>
    <w:rsid w:val="6A444DB8"/>
    <w:rsid w:val="6A471880"/>
    <w:rsid w:val="6A4C28F4"/>
    <w:rsid w:val="6A4D4828"/>
    <w:rsid w:val="6A516AC3"/>
    <w:rsid w:val="6A5303BA"/>
    <w:rsid w:val="6A5B28ED"/>
    <w:rsid w:val="6A5E6092"/>
    <w:rsid w:val="6A675229"/>
    <w:rsid w:val="6A677080"/>
    <w:rsid w:val="6A677550"/>
    <w:rsid w:val="6A711183"/>
    <w:rsid w:val="6A720BCF"/>
    <w:rsid w:val="6A7B4B9C"/>
    <w:rsid w:val="6AAE7116"/>
    <w:rsid w:val="6AAF014C"/>
    <w:rsid w:val="6ABD60AB"/>
    <w:rsid w:val="6AC07690"/>
    <w:rsid w:val="6ACB082B"/>
    <w:rsid w:val="6AD3247E"/>
    <w:rsid w:val="6AE4699C"/>
    <w:rsid w:val="6AED1BE8"/>
    <w:rsid w:val="6AF00853"/>
    <w:rsid w:val="6AF317C6"/>
    <w:rsid w:val="6B004C6B"/>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74340"/>
    <w:rsid w:val="6B884219"/>
    <w:rsid w:val="6B90781F"/>
    <w:rsid w:val="6BA6663C"/>
    <w:rsid w:val="6BA9194F"/>
    <w:rsid w:val="6BB07973"/>
    <w:rsid w:val="6BCA7437"/>
    <w:rsid w:val="6BE727F5"/>
    <w:rsid w:val="6C001608"/>
    <w:rsid w:val="6C08064C"/>
    <w:rsid w:val="6C0858B3"/>
    <w:rsid w:val="6C132D21"/>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C6626"/>
    <w:rsid w:val="6D5D0DB5"/>
    <w:rsid w:val="6D6855B1"/>
    <w:rsid w:val="6D6C5D15"/>
    <w:rsid w:val="6D6D7C75"/>
    <w:rsid w:val="6D7B4AB7"/>
    <w:rsid w:val="6D836C02"/>
    <w:rsid w:val="6D89784B"/>
    <w:rsid w:val="6D8C7F73"/>
    <w:rsid w:val="6D9057BE"/>
    <w:rsid w:val="6D9E0566"/>
    <w:rsid w:val="6DAB31DB"/>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6D3E"/>
    <w:rsid w:val="6EE9744F"/>
    <w:rsid w:val="6EEC3F7C"/>
    <w:rsid w:val="6EF3602C"/>
    <w:rsid w:val="6EF62DB2"/>
    <w:rsid w:val="6EFE1485"/>
    <w:rsid w:val="6F0247B3"/>
    <w:rsid w:val="6F031F8E"/>
    <w:rsid w:val="6F09008D"/>
    <w:rsid w:val="6F0D382C"/>
    <w:rsid w:val="6F2632E8"/>
    <w:rsid w:val="6F30363A"/>
    <w:rsid w:val="6F3316E5"/>
    <w:rsid w:val="6F3F40F9"/>
    <w:rsid w:val="6F424B2F"/>
    <w:rsid w:val="6F5E0205"/>
    <w:rsid w:val="6F632569"/>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DB518F"/>
    <w:rsid w:val="6FE529ED"/>
    <w:rsid w:val="6FF733A7"/>
    <w:rsid w:val="70003DD9"/>
    <w:rsid w:val="70072915"/>
    <w:rsid w:val="70172090"/>
    <w:rsid w:val="70195E88"/>
    <w:rsid w:val="701D43BA"/>
    <w:rsid w:val="702B6F43"/>
    <w:rsid w:val="7032079E"/>
    <w:rsid w:val="703C186A"/>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115386"/>
    <w:rsid w:val="71126908"/>
    <w:rsid w:val="71151975"/>
    <w:rsid w:val="711D1189"/>
    <w:rsid w:val="712A2C1F"/>
    <w:rsid w:val="712A5215"/>
    <w:rsid w:val="712F2B3D"/>
    <w:rsid w:val="71336A65"/>
    <w:rsid w:val="713A6008"/>
    <w:rsid w:val="7144725F"/>
    <w:rsid w:val="7148395C"/>
    <w:rsid w:val="714B215B"/>
    <w:rsid w:val="714E2D72"/>
    <w:rsid w:val="71545B37"/>
    <w:rsid w:val="71570E43"/>
    <w:rsid w:val="71573E01"/>
    <w:rsid w:val="716F00B2"/>
    <w:rsid w:val="71702748"/>
    <w:rsid w:val="71867894"/>
    <w:rsid w:val="71920F6D"/>
    <w:rsid w:val="719E0160"/>
    <w:rsid w:val="719F7A78"/>
    <w:rsid w:val="71A03079"/>
    <w:rsid w:val="71AD22C0"/>
    <w:rsid w:val="71B623F6"/>
    <w:rsid w:val="71B84778"/>
    <w:rsid w:val="71C7540C"/>
    <w:rsid w:val="71E857A5"/>
    <w:rsid w:val="71F64A63"/>
    <w:rsid w:val="71F870B8"/>
    <w:rsid w:val="72021233"/>
    <w:rsid w:val="720B2A1D"/>
    <w:rsid w:val="72197AB8"/>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1252F"/>
    <w:rsid w:val="72B31A1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16F54"/>
    <w:rsid w:val="744B354F"/>
    <w:rsid w:val="7450294E"/>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A4340"/>
    <w:rsid w:val="76123E1D"/>
    <w:rsid w:val="761270F3"/>
    <w:rsid w:val="761724E5"/>
    <w:rsid w:val="762545DB"/>
    <w:rsid w:val="762A17C0"/>
    <w:rsid w:val="762B7A6C"/>
    <w:rsid w:val="762E6798"/>
    <w:rsid w:val="76425118"/>
    <w:rsid w:val="764838B9"/>
    <w:rsid w:val="764B15DA"/>
    <w:rsid w:val="764C09B4"/>
    <w:rsid w:val="764F5A52"/>
    <w:rsid w:val="76521C57"/>
    <w:rsid w:val="765C1289"/>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7001F24"/>
    <w:rsid w:val="770A6C33"/>
    <w:rsid w:val="771A04D1"/>
    <w:rsid w:val="771B67DF"/>
    <w:rsid w:val="771E64D7"/>
    <w:rsid w:val="77240552"/>
    <w:rsid w:val="77272CAB"/>
    <w:rsid w:val="772B4341"/>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A012A"/>
    <w:rsid w:val="779A096B"/>
    <w:rsid w:val="779B52FF"/>
    <w:rsid w:val="779C011D"/>
    <w:rsid w:val="77A00E75"/>
    <w:rsid w:val="77A80D17"/>
    <w:rsid w:val="77B841F3"/>
    <w:rsid w:val="77C078B1"/>
    <w:rsid w:val="77CE7C36"/>
    <w:rsid w:val="77E66E3C"/>
    <w:rsid w:val="77E84D6F"/>
    <w:rsid w:val="77F3789A"/>
    <w:rsid w:val="77F71324"/>
    <w:rsid w:val="78005A86"/>
    <w:rsid w:val="78011BF1"/>
    <w:rsid w:val="780326B9"/>
    <w:rsid w:val="780332E5"/>
    <w:rsid w:val="7804698A"/>
    <w:rsid w:val="7833711D"/>
    <w:rsid w:val="7834483F"/>
    <w:rsid w:val="78460D63"/>
    <w:rsid w:val="78497C2E"/>
    <w:rsid w:val="784A599C"/>
    <w:rsid w:val="78502D35"/>
    <w:rsid w:val="7854087B"/>
    <w:rsid w:val="786A4053"/>
    <w:rsid w:val="78717849"/>
    <w:rsid w:val="78782A0D"/>
    <w:rsid w:val="78785A2F"/>
    <w:rsid w:val="787B5060"/>
    <w:rsid w:val="788720E7"/>
    <w:rsid w:val="78A90B04"/>
    <w:rsid w:val="78B0552C"/>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E73F2"/>
    <w:rsid w:val="79395A92"/>
    <w:rsid w:val="793C6522"/>
    <w:rsid w:val="794008FB"/>
    <w:rsid w:val="79412D41"/>
    <w:rsid w:val="794708D9"/>
    <w:rsid w:val="794B21A1"/>
    <w:rsid w:val="7964574A"/>
    <w:rsid w:val="79804706"/>
    <w:rsid w:val="79835FC2"/>
    <w:rsid w:val="79840597"/>
    <w:rsid w:val="79941CF2"/>
    <w:rsid w:val="79973382"/>
    <w:rsid w:val="79B4353E"/>
    <w:rsid w:val="79C07B43"/>
    <w:rsid w:val="79C832AC"/>
    <w:rsid w:val="79D33056"/>
    <w:rsid w:val="79D715DF"/>
    <w:rsid w:val="79E16F93"/>
    <w:rsid w:val="79E701E5"/>
    <w:rsid w:val="79EC0256"/>
    <w:rsid w:val="79F1554B"/>
    <w:rsid w:val="79F60153"/>
    <w:rsid w:val="79FB6E2C"/>
    <w:rsid w:val="79FF7B91"/>
    <w:rsid w:val="7A36322F"/>
    <w:rsid w:val="7A431242"/>
    <w:rsid w:val="7A444657"/>
    <w:rsid w:val="7A4B3D21"/>
    <w:rsid w:val="7A4C2D60"/>
    <w:rsid w:val="7A5E0869"/>
    <w:rsid w:val="7A69432B"/>
    <w:rsid w:val="7A6E4BF5"/>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674BA"/>
    <w:rsid w:val="7C4A2BD1"/>
    <w:rsid w:val="7C4C0053"/>
    <w:rsid w:val="7C576C70"/>
    <w:rsid w:val="7C6E4349"/>
    <w:rsid w:val="7C77043F"/>
    <w:rsid w:val="7C8A7CDC"/>
    <w:rsid w:val="7C9B5288"/>
    <w:rsid w:val="7C9E5A24"/>
    <w:rsid w:val="7CA745A1"/>
    <w:rsid w:val="7CAF4DCB"/>
    <w:rsid w:val="7CB4006B"/>
    <w:rsid w:val="7CB93ABB"/>
    <w:rsid w:val="7CC475DB"/>
    <w:rsid w:val="7CD36BD6"/>
    <w:rsid w:val="7CDE3831"/>
    <w:rsid w:val="7CE656F0"/>
    <w:rsid w:val="7CED34FF"/>
    <w:rsid w:val="7CEE5458"/>
    <w:rsid w:val="7CF26588"/>
    <w:rsid w:val="7CF565D7"/>
    <w:rsid w:val="7CF7605D"/>
    <w:rsid w:val="7CF867A7"/>
    <w:rsid w:val="7CFA3A46"/>
    <w:rsid w:val="7CFC78A1"/>
    <w:rsid w:val="7D0F5720"/>
    <w:rsid w:val="7D24652E"/>
    <w:rsid w:val="7D2561FD"/>
    <w:rsid w:val="7D2E198F"/>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2024-05-13T11:44:33Z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2C76AEB552B54F80A12B88DD3D57EA5C</vt:lpwstr>
  </property>
</Properties>
</file>